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CB627" w14:textId="77777777" w:rsidR="005C6BD9" w:rsidRDefault="00D8586C" w:rsidP="005C6BD9">
      <w:pPr>
        <w:numPr>
          <w:ilvl w:val="0"/>
          <w:numId w:val="0"/>
        </w:numPr>
      </w:pPr>
      <w:r>
        <w:pict w14:anchorId="406E724B">
          <v:rect id="_x0000_i1030" style="width:453.6pt;height:.05pt"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1D61C0" w14:paraId="1032FFB3" w14:textId="77777777" w:rsidTr="001D61C0">
        <w:tc>
          <w:tcPr>
            <w:tcW w:w="2614" w:type="dxa"/>
          </w:tcPr>
          <w:p w14:paraId="3464F9AB" w14:textId="77777777" w:rsidR="001D61C0" w:rsidRDefault="006714BC" w:rsidP="005C6BD9">
            <w:pPr>
              <w:numPr>
                <w:ilvl w:val="0"/>
                <w:numId w:val="0"/>
              </w:numPr>
              <w:spacing w:before="120"/>
              <w:rPr>
                <w:rStyle w:val="Buchtitel"/>
              </w:rPr>
            </w:pPr>
            <w:r>
              <w:rPr>
                <w:rStyle w:val="Buchtitel"/>
              </w:rPr>
              <w:fldChar w:fldCharType="begin">
                <w:ffData>
                  <w:name w:val="Kontrollkästchen8"/>
                  <w:enabled/>
                  <w:calcOnExit w:val="0"/>
                  <w:checkBox>
                    <w:sizeAuto/>
                    <w:default w:val="0"/>
                  </w:checkBox>
                </w:ffData>
              </w:fldChar>
            </w:r>
            <w:bookmarkStart w:id="0" w:name="Kontrollkästchen8"/>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bookmarkEnd w:id="0"/>
            <w:r w:rsidR="001D61C0" w:rsidRPr="00F46DDE">
              <w:rPr>
                <w:rStyle w:val="Buchtitel"/>
              </w:rPr>
              <w:t xml:space="preserve"> </w:t>
            </w:r>
            <w:r w:rsidR="001D61C0" w:rsidRPr="00034A92">
              <w:rPr>
                <w:rStyle w:val="Fett"/>
              </w:rPr>
              <w:t>Lernaufgabe</w:t>
            </w:r>
          </w:p>
        </w:tc>
        <w:tc>
          <w:tcPr>
            <w:tcW w:w="2614" w:type="dxa"/>
          </w:tcPr>
          <w:p w14:paraId="20CAE692" w14:textId="77777777" w:rsidR="001D61C0" w:rsidRDefault="001D61C0" w:rsidP="005C6BD9">
            <w:pPr>
              <w:numPr>
                <w:ilvl w:val="0"/>
                <w:numId w:val="0"/>
              </w:numPr>
              <w:spacing w:before="120"/>
              <w:rPr>
                <w:rStyle w:val="Buchtitel"/>
              </w:rPr>
            </w:pPr>
            <w:r w:rsidRPr="00F46DDE">
              <w:rPr>
                <w:rStyle w:val="Buchtitel"/>
              </w:rPr>
              <w:fldChar w:fldCharType="begin">
                <w:ffData>
                  <w:name w:val="Kontrollkästchen1"/>
                  <w:enabled/>
                  <w:calcOnExit w:val="0"/>
                  <w:checkBox>
                    <w:sizeAuto/>
                    <w:default w:val="0"/>
                  </w:checkBox>
                </w:ffData>
              </w:fldChar>
            </w:r>
            <w:r w:rsidRPr="00F46DDE">
              <w:rPr>
                <w:rStyle w:val="Buchtitel"/>
              </w:rPr>
              <w:instrText xml:space="preserve"> FORMCHECKBOX </w:instrText>
            </w:r>
            <w:r w:rsidR="00D8586C">
              <w:rPr>
                <w:rStyle w:val="Buchtitel"/>
              </w:rPr>
            </w:r>
            <w:r w:rsidR="00D8586C">
              <w:rPr>
                <w:rStyle w:val="Buchtitel"/>
              </w:rPr>
              <w:fldChar w:fldCharType="separate"/>
            </w:r>
            <w:r w:rsidRPr="00F46DDE">
              <w:rPr>
                <w:rStyle w:val="Buchtitel"/>
              </w:rPr>
              <w:fldChar w:fldCharType="end"/>
            </w:r>
            <w:r w:rsidRPr="00F46DDE">
              <w:rPr>
                <w:rStyle w:val="Buchtitel"/>
              </w:rPr>
              <w:t xml:space="preserve"> Grundschule</w:t>
            </w:r>
          </w:p>
        </w:tc>
        <w:tc>
          <w:tcPr>
            <w:tcW w:w="2614" w:type="dxa"/>
          </w:tcPr>
          <w:p w14:paraId="22FC3387" w14:textId="77777777" w:rsidR="001D61C0" w:rsidRDefault="00595974"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bookmarkStart w:id="1" w:name="Kontrollkästchen11"/>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bookmarkEnd w:id="1"/>
            <w:r w:rsidR="001D61C0">
              <w:rPr>
                <w:rStyle w:val="Buchtitel"/>
              </w:rPr>
              <w:t xml:space="preserve"> </w:t>
            </w:r>
            <w:r w:rsidR="001D61C0" w:rsidRPr="00F46DDE">
              <w:rPr>
                <w:rStyle w:val="Buchtitel"/>
              </w:rPr>
              <w:t>Realschule</w:t>
            </w:r>
            <w:r w:rsidR="001D61C0">
              <w:rPr>
                <w:rStyle w:val="Buchtitel"/>
              </w:rPr>
              <w:tab/>
            </w:r>
          </w:p>
        </w:tc>
        <w:tc>
          <w:tcPr>
            <w:tcW w:w="2614" w:type="dxa"/>
          </w:tcPr>
          <w:p w14:paraId="40517645" w14:textId="77777777" w:rsidR="001D61C0" w:rsidRDefault="006714BC" w:rsidP="005C6BD9">
            <w:pPr>
              <w:numPr>
                <w:ilvl w:val="0"/>
                <w:numId w:val="0"/>
              </w:numPr>
              <w:spacing w:before="120"/>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14:paraId="7C2EF3A5" w14:textId="77777777" w:rsidTr="001D61C0">
        <w:tc>
          <w:tcPr>
            <w:tcW w:w="2614" w:type="dxa"/>
          </w:tcPr>
          <w:p w14:paraId="0F882636" w14:textId="77777777"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D8586C">
              <w:rPr>
                <w:rStyle w:val="Buchtitel"/>
              </w:rPr>
            </w:r>
            <w:r w:rsidR="00D8586C">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14:paraId="752E9139" w14:textId="77777777" w:rsidR="001D61C0" w:rsidRDefault="00595974" w:rsidP="001D61C0">
            <w:pPr>
              <w:numPr>
                <w:ilvl w:val="0"/>
                <w:numId w:val="0"/>
              </w:numPr>
              <w:rPr>
                <w:rStyle w:val="Buchtitel"/>
              </w:rPr>
            </w:pPr>
            <w:r>
              <w:rPr>
                <w:rStyle w:val="Buchtitel"/>
              </w:rPr>
              <w:fldChar w:fldCharType="begin">
                <w:ffData>
                  <w:name w:val="Kontrollkästchen2"/>
                  <w:enabled/>
                  <w:calcOnExit w:val="0"/>
                  <w:checkBox>
                    <w:sizeAuto/>
                    <w:default w:val="1"/>
                  </w:checkBox>
                </w:ffData>
              </w:fldChar>
            </w:r>
            <w:bookmarkStart w:id="2" w:name="Kontrollkästchen2"/>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bookmarkEnd w:id="2"/>
            <w:r w:rsidR="001D61C0" w:rsidRPr="00F46DDE">
              <w:rPr>
                <w:rStyle w:val="Buchtitel"/>
              </w:rPr>
              <w:t xml:space="preserve"> Mittelschule</w:t>
            </w:r>
          </w:p>
        </w:tc>
        <w:tc>
          <w:tcPr>
            <w:tcW w:w="2614" w:type="dxa"/>
          </w:tcPr>
          <w:p w14:paraId="16862CF9" w14:textId="77777777" w:rsidR="001D61C0" w:rsidRDefault="00595974"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3" w:name="Kontrollkästchen12"/>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bookmarkEnd w:id="3"/>
            <w:r w:rsidR="001D61C0" w:rsidRPr="00F46DDE">
              <w:rPr>
                <w:rStyle w:val="Buchtitel"/>
              </w:rPr>
              <w:t xml:space="preserve"> </w:t>
            </w:r>
            <w:r w:rsidR="001D61C0">
              <w:rPr>
                <w:rStyle w:val="Buchtitel"/>
              </w:rPr>
              <w:t>Gymnasium</w:t>
            </w:r>
          </w:p>
        </w:tc>
        <w:tc>
          <w:tcPr>
            <w:tcW w:w="2614" w:type="dxa"/>
          </w:tcPr>
          <w:p w14:paraId="34780A46" w14:textId="77777777" w:rsidR="001D61C0" w:rsidRDefault="006714BC"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tr w:rsidR="001D61C0" w14:paraId="13241C1B" w14:textId="77777777" w:rsidTr="001D61C0">
        <w:tc>
          <w:tcPr>
            <w:tcW w:w="2614" w:type="dxa"/>
          </w:tcPr>
          <w:p w14:paraId="30460770" w14:textId="77777777" w:rsidR="001D61C0" w:rsidRDefault="006714BC" w:rsidP="001D61C0">
            <w:pPr>
              <w:numPr>
                <w:ilvl w:val="0"/>
                <w:numId w:val="0"/>
              </w:numPr>
              <w:rPr>
                <w:rStyle w:val="Buchtitel"/>
              </w:rPr>
            </w:pPr>
            <w:r>
              <w:rPr>
                <w:rStyle w:val="Buchtitel"/>
              </w:rPr>
              <w:fldChar w:fldCharType="begin">
                <w:ffData>
                  <w:name w:val="Kontrollkästchen10"/>
                  <w:enabled/>
                  <w:calcOnExit w:val="0"/>
                  <w:checkBox>
                    <w:sizeAuto/>
                    <w:default w:val="1"/>
                  </w:checkBox>
                </w:ffData>
              </w:fldChar>
            </w:r>
            <w:bookmarkStart w:id="4" w:name="Kontrollkästchen10"/>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bookmarkEnd w:id="4"/>
            <w:r w:rsidR="001D61C0" w:rsidRPr="00F46DDE">
              <w:rPr>
                <w:rStyle w:val="Buchtitel"/>
              </w:rPr>
              <w:t xml:space="preserve"> </w:t>
            </w:r>
            <w:r w:rsidR="001D61C0" w:rsidRPr="00034A92">
              <w:rPr>
                <w:rStyle w:val="Fett"/>
              </w:rPr>
              <w:t>Material</w:t>
            </w:r>
          </w:p>
        </w:tc>
        <w:tc>
          <w:tcPr>
            <w:tcW w:w="2614" w:type="dxa"/>
          </w:tcPr>
          <w:p w14:paraId="09982F54" w14:textId="77777777"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D8586C">
              <w:rPr>
                <w:rStyle w:val="Buchtitel"/>
              </w:rPr>
            </w:r>
            <w:r w:rsidR="00D8586C">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14:paraId="2E5C629D" w14:textId="77777777" w:rsidR="001D61C0" w:rsidRDefault="00595974"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bookmarkStart w:id="5" w:name="Kontrollkästchen13"/>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Wirtschaftsschule</w:t>
            </w:r>
            <w:r w:rsidR="001D61C0">
              <w:rPr>
                <w:rStyle w:val="Buchtitel"/>
              </w:rPr>
              <w:tab/>
            </w:r>
          </w:p>
        </w:tc>
        <w:tc>
          <w:tcPr>
            <w:tcW w:w="2614" w:type="dxa"/>
          </w:tcPr>
          <w:p w14:paraId="293FE43F" w14:textId="77777777" w:rsidR="001D61C0" w:rsidRDefault="006714BC"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Berufsschule</w:t>
            </w:r>
          </w:p>
        </w:tc>
      </w:tr>
      <w:tr w:rsidR="001D61C0" w14:paraId="2F5AC440" w14:textId="77777777" w:rsidTr="001D61C0">
        <w:tc>
          <w:tcPr>
            <w:tcW w:w="2614" w:type="dxa"/>
          </w:tcPr>
          <w:p w14:paraId="6B56FBC4" w14:textId="77777777" w:rsidR="001D61C0" w:rsidRDefault="001D61C0" w:rsidP="001D61C0">
            <w:pPr>
              <w:numPr>
                <w:ilvl w:val="0"/>
                <w:numId w:val="0"/>
              </w:numPr>
              <w:rPr>
                <w:rStyle w:val="Buchtitel"/>
              </w:rPr>
            </w:pPr>
          </w:p>
        </w:tc>
        <w:tc>
          <w:tcPr>
            <w:tcW w:w="2614" w:type="dxa"/>
          </w:tcPr>
          <w:p w14:paraId="030584BE" w14:textId="77777777" w:rsidR="001D61C0" w:rsidRDefault="001D61C0" w:rsidP="001D61C0">
            <w:pPr>
              <w:numPr>
                <w:ilvl w:val="0"/>
                <w:numId w:val="0"/>
              </w:numPr>
              <w:rPr>
                <w:rStyle w:val="Buchtitel"/>
              </w:rPr>
            </w:pPr>
          </w:p>
        </w:tc>
        <w:tc>
          <w:tcPr>
            <w:tcW w:w="2614" w:type="dxa"/>
          </w:tcPr>
          <w:p w14:paraId="05C22E4A" w14:textId="77777777" w:rsidR="001D61C0" w:rsidRDefault="001D61C0" w:rsidP="001D61C0">
            <w:pPr>
              <w:numPr>
                <w:ilvl w:val="0"/>
                <w:numId w:val="0"/>
              </w:numPr>
              <w:rPr>
                <w:rStyle w:val="Buchtitel"/>
              </w:rPr>
            </w:pPr>
          </w:p>
        </w:tc>
        <w:tc>
          <w:tcPr>
            <w:tcW w:w="2614" w:type="dxa"/>
          </w:tcPr>
          <w:p w14:paraId="05768862" w14:textId="77777777" w:rsidR="001D61C0" w:rsidRDefault="006714BC" w:rsidP="001D61C0">
            <w:pPr>
              <w:numPr>
                <w:ilvl w:val="0"/>
                <w:numId w:val="0"/>
              </w:numPr>
              <w:rPr>
                <w:rStyle w:val="Buchtitel"/>
              </w:rPr>
            </w:pPr>
            <w:r>
              <w:rPr>
                <w:rStyle w:val="Buchtitel"/>
              </w:rPr>
              <w:fldChar w:fldCharType="begin">
                <w:ffData>
                  <w:name w:val="Kontrollkästchen14"/>
                  <w:enabled/>
                  <w:calcOnExit w:val="0"/>
                  <w:checkBox>
                    <w:sizeAuto/>
                    <w:default w:val="1"/>
                  </w:checkBox>
                </w:ffData>
              </w:fldChar>
            </w:r>
            <w:bookmarkStart w:id="6" w:name="Kontrollkästchen14"/>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bookmarkEnd w:id="6"/>
            <w:r w:rsidR="001D61C0">
              <w:rPr>
                <w:rStyle w:val="Buchtitel"/>
              </w:rPr>
              <w:t xml:space="preserve"> </w:t>
            </w:r>
            <w:r w:rsidR="001D61C0" w:rsidRPr="00F46DDE">
              <w:rPr>
                <w:rStyle w:val="Buchtitel"/>
              </w:rPr>
              <w:t>Sek.</w:t>
            </w:r>
            <w:r w:rsidR="001D61C0">
              <w:rPr>
                <w:rStyle w:val="Buchtitel"/>
              </w:rPr>
              <w:t xml:space="preserve"> l </w:t>
            </w:r>
            <w:r w:rsidR="001D61C0">
              <w:rPr>
                <w:rStyle w:val="Buchtitel"/>
              </w:rPr>
              <w:tab/>
            </w:r>
            <w:r>
              <w:rPr>
                <w:rStyle w:val="Buchtitel"/>
              </w:rPr>
              <w:fldChar w:fldCharType="begin">
                <w:ffData>
                  <w:name w:val=""/>
                  <w:enabled/>
                  <w:calcOnExit w:val="0"/>
                  <w:checkBox>
                    <w:sizeAuto/>
                    <w:default w:val="1"/>
                  </w:checkBox>
                </w:ffData>
              </w:fldChar>
            </w:r>
            <w:r>
              <w:rPr>
                <w:rStyle w:val="Buchtitel"/>
              </w:rPr>
              <w:instrText xml:space="preserve"> FORMCHECKBOX </w:instrText>
            </w:r>
            <w:r w:rsidR="00D8586C">
              <w:rPr>
                <w:rStyle w:val="Buchtitel"/>
              </w:rPr>
            </w:r>
            <w:r w:rsidR="00D8586C">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14:paraId="48279FB9" w14:textId="77777777" w:rsidR="002762E3" w:rsidRDefault="00D8586C" w:rsidP="00F35F93">
      <w:pPr>
        <w:numPr>
          <w:ilvl w:val="0"/>
          <w:numId w:val="0"/>
        </w:numPr>
      </w:pPr>
      <w:r>
        <w:pict w14:anchorId="68238893">
          <v:rect id="_x0000_i1031" style="width:453.6pt;height:.05pt" o:hralign="center" o:hrstd="t" o:hr="t" fillcolor="#a0a0a0" stroked="f"/>
        </w:pict>
      </w:r>
    </w:p>
    <w:p w14:paraId="3327524D" w14:textId="77777777" w:rsidR="00595974" w:rsidRPr="00595974" w:rsidRDefault="006714BC" w:rsidP="00595974">
      <w:pPr>
        <w:pStyle w:val="berschrift2"/>
        <w:numPr>
          <w:ilvl w:val="0"/>
          <w:numId w:val="0"/>
        </w:numPr>
        <w:jc w:val="center"/>
        <w:rPr>
          <w:color w:val="00B0F0"/>
        </w:rPr>
      </w:pPr>
      <w:r>
        <w:rPr>
          <w:color w:val="00B0F0"/>
        </w:rPr>
        <w:t>Antisemitismus vor Gericht: Ausgewählte Gerichtsurteile zu antisemitischen Vorfällen</w:t>
      </w:r>
    </w:p>
    <w:p w14:paraId="068D2280" w14:textId="77777777" w:rsidR="006714BC" w:rsidRPr="00FC2FBC" w:rsidRDefault="006714BC" w:rsidP="006714BC">
      <w:pPr>
        <w:pStyle w:val="berschrift2"/>
        <w:numPr>
          <w:ilvl w:val="0"/>
          <w:numId w:val="0"/>
        </w:numPr>
        <w:rPr>
          <w:rFonts w:eastAsia="Times New Roman"/>
          <w:lang w:eastAsia="de-DE"/>
        </w:rPr>
      </w:pPr>
      <w:r w:rsidRPr="00FC2FBC">
        <w:rPr>
          <w:rFonts w:eastAsia="Times New Roman"/>
          <w:lang w:eastAsia="de-DE"/>
        </w:rPr>
        <w:t>Hinweise und Anregungen zur Einbindung in den Unterricht</w:t>
      </w:r>
    </w:p>
    <w:p w14:paraId="6F7149C3" w14:textId="77777777" w:rsidR="006714BC" w:rsidRDefault="006714BC" w:rsidP="006714BC">
      <w:pPr>
        <w:numPr>
          <w:ilvl w:val="0"/>
          <w:numId w:val="0"/>
        </w:numPr>
        <w:ind w:left="284" w:hanging="284"/>
        <w:rPr>
          <w:rFonts w:eastAsia="Times New Roman"/>
          <w:color w:val="000000" w:themeColor="text1"/>
          <w:sz w:val="24"/>
          <w:lang w:eastAsia="de-DE"/>
        </w:rPr>
      </w:pPr>
    </w:p>
    <w:p w14:paraId="68279FB2" w14:textId="77777777" w:rsidR="006714BC" w:rsidRDefault="006714BC" w:rsidP="006714BC">
      <w:pPr>
        <w:rPr>
          <w:rFonts w:eastAsia="Times New Roman"/>
          <w:sz w:val="24"/>
          <w:lang w:eastAsia="de-DE"/>
        </w:rPr>
      </w:pPr>
      <w:r w:rsidRPr="004C2B62">
        <w:rPr>
          <w:rFonts w:eastAsia="Times New Roman"/>
          <w:sz w:val="24"/>
          <w:lang w:eastAsia="de-DE"/>
        </w:rPr>
        <w:t>Die Schülerinnen und Schüler werden</w:t>
      </w:r>
      <w:r>
        <w:rPr>
          <w:rFonts w:eastAsia="Times New Roman"/>
          <w:sz w:val="24"/>
          <w:lang w:eastAsia="de-DE"/>
        </w:rPr>
        <w:t xml:space="preserve"> zu </w:t>
      </w:r>
      <w:r w:rsidRPr="00B32A9D">
        <w:rPr>
          <w:rFonts w:eastAsia="Times New Roman"/>
          <w:b/>
          <w:sz w:val="24"/>
          <w:lang w:eastAsia="de-DE"/>
        </w:rPr>
        <w:t>Beginn der Stunde</w:t>
      </w:r>
      <w:r>
        <w:rPr>
          <w:rFonts w:eastAsia="Times New Roman"/>
          <w:sz w:val="24"/>
          <w:lang w:eastAsia="de-DE"/>
        </w:rPr>
        <w:t xml:space="preserve"> mit dem der Gerichtsverhandlung zugrundeliegenden Sachverhalt konfrontiert und </w:t>
      </w:r>
      <w:r w:rsidRPr="004C2B62">
        <w:rPr>
          <w:rFonts w:eastAsia="Times New Roman"/>
          <w:sz w:val="24"/>
          <w:lang w:eastAsia="de-DE"/>
        </w:rPr>
        <w:t xml:space="preserve">sollen zunächst spontan eine Einschätzung abgeben, bevor sie sich </w:t>
      </w:r>
      <w:r>
        <w:rPr>
          <w:rFonts w:eastAsia="Times New Roman"/>
          <w:sz w:val="24"/>
          <w:lang w:eastAsia="de-DE"/>
        </w:rPr>
        <w:t xml:space="preserve">in einer ersten </w:t>
      </w:r>
      <w:r w:rsidRPr="00B32A9D">
        <w:rPr>
          <w:rFonts w:eastAsia="Times New Roman"/>
          <w:b/>
          <w:sz w:val="24"/>
          <w:lang w:eastAsia="de-DE"/>
        </w:rPr>
        <w:t>Erarbeitungsphase</w:t>
      </w:r>
      <w:r>
        <w:rPr>
          <w:rFonts w:eastAsia="Times New Roman"/>
          <w:sz w:val="24"/>
          <w:lang w:eastAsia="de-DE"/>
        </w:rPr>
        <w:t xml:space="preserve"> </w:t>
      </w:r>
      <w:r w:rsidRPr="004C2B62">
        <w:rPr>
          <w:rFonts w:eastAsia="Times New Roman"/>
          <w:sz w:val="24"/>
          <w:lang w:eastAsia="de-DE"/>
        </w:rPr>
        <w:t xml:space="preserve">mit den einschlägigen Rechtsvorschriften befassen. Auf dieser Grundlage sollen sie </w:t>
      </w:r>
      <w:r>
        <w:rPr>
          <w:rFonts w:eastAsia="Times New Roman"/>
          <w:sz w:val="24"/>
          <w:lang w:eastAsia="de-DE"/>
        </w:rPr>
        <w:t xml:space="preserve">– in Partnerarbeit oder in Kleingruppen – </w:t>
      </w:r>
      <w:r w:rsidRPr="004C2B62">
        <w:rPr>
          <w:rFonts w:eastAsia="Times New Roman"/>
          <w:sz w:val="24"/>
          <w:lang w:eastAsia="de-DE"/>
        </w:rPr>
        <w:t>ein Urteil fällen.</w:t>
      </w:r>
      <w:r>
        <w:rPr>
          <w:rFonts w:eastAsia="Times New Roman"/>
          <w:sz w:val="24"/>
          <w:lang w:eastAsia="de-DE"/>
        </w:rPr>
        <w:t xml:space="preserve"> Es biete</w:t>
      </w:r>
      <w:r w:rsidR="00A05C1B">
        <w:rPr>
          <w:rFonts w:eastAsia="Times New Roman"/>
          <w:sz w:val="24"/>
          <w:lang w:eastAsia="de-DE"/>
        </w:rPr>
        <w:t>t</w:t>
      </w:r>
      <w:r>
        <w:rPr>
          <w:rFonts w:eastAsia="Times New Roman"/>
          <w:sz w:val="24"/>
          <w:lang w:eastAsia="de-DE"/>
        </w:rPr>
        <w:t xml:space="preserve"> sich an, wesentliche Argumente schriftlich festzuhalten – etwa über eine digitale Pinnwand. Dort können auch Fragen </w:t>
      </w:r>
      <w:r w:rsidR="00A05C1B">
        <w:rPr>
          <w:rFonts w:eastAsia="Times New Roman"/>
          <w:sz w:val="24"/>
          <w:lang w:eastAsia="de-DE"/>
        </w:rPr>
        <w:t>ge</w:t>
      </w:r>
      <w:r>
        <w:rPr>
          <w:rFonts w:eastAsia="Times New Roman"/>
          <w:sz w:val="24"/>
          <w:lang w:eastAsia="de-DE"/>
        </w:rPr>
        <w:t>sammelt werden, die sich angesichts der knappen Beschreibung des antisemitischen Vorfalls ergeben und deren Beantwortung für die Urteilsbemessung wichtig sein könnte.</w:t>
      </w:r>
      <w:r w:rsidRPr="004C2B62">
        <w:rPr>
          <w:rFonts w:eastAsia="Times New Roman"/>
          <w:sz w:val="24"/>
          <w:lang w:eastAsia="de-DE"/>
        </w:rPr>
        <w:t xml:space="preserve"> </w:t>
      </w:r>
      <w:r>
        <w:rPr>
          <w:rFonts w:eastAsia="Times New Roman"/>
          <w:sz w:val="24"/>
          <w:lang w:eastAsia="de-DE"/>
        </w:rPr>
        <w:t>Der Vergleich</w:t>
      </w:r>
      <w:r w:rsidRPr="004C2B62">
        <w:rPr>
          <w:rFonts w:eastAsia="Times New Roman"/>
          <w:sz w:val="24"/>
          <w:lang w:eastAsia="de-DE"/>
        </w:rPr>
        <w:t xml:space="preserve"> der</w:t>
      </w:r>
      <w:r>
        <w:rPr>
          <w:rFonts w:eastAsia="Times New Roman"/>
          <w:sz w:val="24"/>
          <w:lang w:eastAsia="de-DE"/>
        </w:rPr>
        <w:t xml:space="preserve"> von den Schülerinnen und Schüler erwogenen</w:t>
      </w:r>
      <w:r w:rsidRPr="004C2B62">
        <w:rPr>
          <w:rFonts w:eastAsia="Times New Roman"/>
          <w:sz w:val="24"/>
          <w:lang w:eastAsia="de-DE"/>
        </w:rPr>
        <w:t xml:space="preserve"> </w:t>
      </w:r>
      <w:r>
        <w:rPr>
          <w:rFonts w:eastAsia="Times New Roman"/>
          <w:sz w:val="24"/>
          <w:lang w:eastAsia="de-DE"/>
        </w:rPr>
        <w:t xml:space="preserve">mit den tatsächlich gerichtlich gefällten Urteilen bildet eine </w:t>
      </w:r>
      <w:r w:rsidRPr="004C2B62">
        <w:rPr>
          <w:rFonts w:eastAsia="Times New Roman"/>
          <w:sz w:val="24"/>
          <w:lang w:eastAsia="de-DE"/>
        </w:rPr>
        <w:t xml:space="preserve">Grundlage für </w:t>
      </w:r>
      <w:r>
        <w:rPr>
          <w:rFonts w:eastAsia="Times New Roman"/>
          <w:sz w:val="24"/>
          <w:lang w:eastAsia="de-DE"/>
        </w:rPr>
        <w:t>die</w:t>
      </w:r>
      <w:r w:rsidRPr="004C2B62">
        <w:rPr>
          <w:rFonts w:eastAsia="Times New Roman"/>
          <w:sz w:val="24"/>
          <w:lang w:eastAsia="de-DE"/>
        </w:rPr>
        <w:t xml:space="preserve"> </w:t>
      </w:r>
      <w:r w:rsidRPr="00B32A9D">
        <w:rPr>
          <w:rFonts w:eastAsia="Times New Roman"/>
          <w:b/>
          <w:sz w:val="24"/>
          <w:lang w:eastAsia="de-DE"/>
        </w:rPr>
        <w:t>abschließende Diskussion</w:t>
      </w:r>
      <w:r w:rsidRPr="004C2B62">
        <w:rPr>
          <w:rFonts w:eastAsia="Times New Roman"/>
          <w:sz w:val="24"/>
          <w:lang w:eastAsia="de-DE"/>
        </w:rPr>
        <w:t>.</w:t>
      </w:r>
      <w:r>
        <w:rPr>
          <w:rFonts w:eastAsia="Times New Roman"/>
          <w:sz w:val="24"/>
          <w:lang w:eastAsia="de-DE"/>
        </w:rPr>
        <w:t xml:space="preserve"> Am </w:t>
      </w:r>
      <w:r w:rsidRPr="00CE12DB">
        <w:rPr>
          <w:rFonts w:eastAsia="Times New Roman"/>
          <w:b/>
          <w:sz w:val="24"/>
          <w:lang w:eastAsia="de-DE"/>
        </w:rPr>
        <w:t>Ende der Diskussion</w:t>
      </w:r>
      <w:r>
        <w:rPr>
          <w:rFonts w:eastAsia="Times New Roman"/>
          <w:sz w:val="24"/>
          <w:lang w:eastAsia="de-DE"/>
        </w:rPr>
        <w:t xml:space="preserve"> kann der Ausgangspunkt der Unterrichtssequenz wieder im Mittelpunkt stehen: Die Frage, wie sich antisemitischen Handlungen begegnen lässt</w:t>
      </w:r>
      <w:r w:rsidR="00A05C1B">
        <w:rPr>
          <w:rFonts w:eastAsia="Times New Roman"/>
          <w:sz w:val="24"/>
          <w:lang w:eastAsia="de-DE"/>
        </w:rPr>
        <w:t>,</w:t>
      </w:r>
      <w:r>
        <w:rPr>
          <w:rFonts w:eastAsia="Times New Roman"/>
          <w:sz w:val="24"/>
          <w:lang w:eastAsia="de-DE"/>
        </w:rPr>
        <w:t xml:space="preserve"> soll explizit die Möglichkeiten jedes einzelnen Schülers, jeder einzelnen Schülerin verdeutlichen, sich Antisemitismus entgegenzustellen. </w:t>
      </w:r>
    </w:p>
    <w:p w14:paraId="53265232" w14:textId="77777777" w:rsidR="006714BC" w:rsidRDefault="006714BC" w:rsidP="006714BC">
      <w:pPr>
        <w:numPr>
          <w:ilvl w:val="0"/>
          <w:numId w:val="0"/>
        </w:numPr>
        <w:rPr>
          <w:rFonts w:eastAsia="Times New Roman"/>
          <w:sz w:val="24"/>
          <w:lang w:eastAsia="de-DE"/>
        </w:rPr>
      </w:pPr>
    </w:p>
    <w:p w14:paraId="002C1C8A" w14:textId="77777777" w:rsidR="006714BC" w:rsidRDefault="006714BC" w:rsidP="006714BC">
      <w:pPr>
        <w:numPr>
          <w:ilvl w:val="0"/>
          <w:numId w:val="0"/>
        </w:numPr>
        <w:rPr>
          <w:rFonts w:eastAsia="Times New Roman"/>
          <w:sz w:val="24"/>
          <w:lang w:eastAsia="de-DE"/>
        </w:rPr>
      </w:pPr>
    </w:p>
    <w:p w14:paraId="374F7B7A" w14:textId="77777777" w:rsidR="006714BC" w:rsidRPr="004C2B62" w:rsidRDefault="006714BC" w:rsidP="006714BC">
      <w:pPr>
        <w:numPr>
          <w:ilvl w:val="0"/>
          <w:numId w:val="0"/>
        </w:numPr>
        <w:rPr>
          <w:rFonts w:eastAsia="Times New Roman"/>
          <w:sz w:val="24"/>
          <w:lang w:eastAsia="de-DE"/>
        </w:rPr>
      </w:pPr>
    </w:p>
    <w:p w14:paraId="7F40CAA3" w14:textId="77777777" w:rsidR="006714BC" w:rsidRDefault="006714BC" w:rsidP="006714BC">
      <w:pPr>
        <w:pStyle w:val="berschrift2"/>
        <w:numPr>
          <w:ilvl w:val="0"/>
          <w:numId w:val="0"/>
        </w:numPr>
        <w:rPr>
          <w:rFonts w:eastAsia="Times New Roman"/>
          <w:lang w:eastAsia="de-DE"/>
        </w:rPr>
      </w:pPr>
      <w:r>
        <w:rPr>
          <w:rFonts w:eastAsia="Times New Roman"/>
          <w:lang w:eastAsia="de-DE"/>
        </w:rPr>
        <w:t>Zum Hintergrund der ausgewählten Urteilsbegründungen</w:t>
      </w:r>
    </w:p>
    <w:p w14:paraId="73AADD33" w14:textId="77777777" w:rsidR="006714BC" w:rsidRDefault="006714BC" w:rsidP="006714BC">
      <w:pPr>
        <w:numPr>
          <w:ilvl w:val="0"/>
          <w:numId w:val="0"/>
        </w:numPr>
        <w:rPr>
          <w:rFonts w:eastAsia="Times New Roman"/>
          <w:sz w:val="24"/>
          <w:lang w:eastAsia="de-DE"/>
        </w:rPr>
        <w:sectPr w:rsidR="006714BC" w:rsidSect="00B0276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567" w:gutter="0"/>
          <w:cols w:space="708"/>
          <w:docGrid w:linePitch="360"/>
        </w:sectPr>
      </w:pPr>
      <w:r>
        <w:rPr>
          <w:rFonts w:eastAsia="Times New Roman"/>
          <w:sz w:val="24"/>
          <w:lang w:eastAsia="de-DE"/>
        </w:rPr>
        <w:t xml:space="preserve">Die ausgewählten Fälle sowie die Urteilsbegründungen finden sich auf </w:t>
      </w:r>
      <w:hyperlink r:id="rId14" w:history="1">
        <w:r w:rsidRPr="004C2B62">
          <w:rPr>
            <w:rStyle w:val="Hyperlink"/>
            <w:rFonts w:eastAsia="Times New Roman"/>
            <w:sz w:val="24"/>
            <w:lang w:eastAsia="de-DE"/>
          </w:rPr>
          <w:t>https://www.kostenlose-urteile.de/</w:t>
        </w:r>
      </w:hyperlink>
      <w:r>
        <w:rPr>
          <w:rFonts w:eastAsia="Times New Roman"/>
          <w:sz w:val="24"/>
          <w:lang w:eastAsia="de-DE"/>
        </w:rPr>
        <w:t xml:space="preserve">, einem Angebot, das sich </w:t>
      </w:r>
      <w:r w:rsidRPr="004C2B62">
        <w:rPr>
          <w:rFonts w:eastAsia="Times New Roman"/>
          <w:sz w:val="24"/>
          <w:lang w:eastAsia="de-DE"/>
        </w:rPr>
        <w:t>ausdrücklich an juristische Laien</w:t>
      </w:r>
      <w:r>
        <w:rPr>
          <w:rFonts w:eastAsia="Times New Roman"/>
          <w:sz w:val="24"/>
          <w:lang w:eastAsia="de-DE"/>
        </w:rPr>
        <w:t xml:space="preserve"> richtet</w:t>
      </w:r>
      <w:r w:rsidRPr="004C2B62">
        <w:rPr>
          <w:rFonts w:eastAsia="Times New Roman"/>
          <w:sz w:val="24"/>
          <w:lang w:eastAsia="de-DE"/>
        </w:rPr>
        <w:t xml:space="preserve">. Das Verfahren bei der Zusammenstellung und Kommentierung der Urteile wird unter der Rubrik „Über uns“ geschildert. Die Seite wird von der ra-online GmbH in Berlin erstellt, </w:t>
      </w:r>
      <w:r>
        <w:rPr>
          <w:rFonts w:eastAsia="Times New Roman"/>
          <w:sz w:val="24"/>
          <w:lang w:eastAsia="de-DE"/>
        </w:rPr>
        <w:t>die</w:t>
      </w:r>
      <w:r w:rsidRPr="004C2B62">
        <w:rPr>
          <w:rFonts w:eastAsia="Times New Roman"/>
          <w:sz w:val="24"/>
          <w:lang w:eastAsia="de-DE"/>
        </w:rPr>
        <w:t xml:space="preserve"> sich auf Internetdienstleistungen für Rechtsanwälte und Rechtanwältinnen spezialisiert hat</w:t>
      </w:r>
      <w:r>
        <w:rPr>
          <w:rFonts w:eastAsia="Times New Roman"/>
          <w:sz w:val="24"/>
          <w:lang w:eastAsia="de-DE"/>
        </w:rPr>
        <w:t>.</w:t>
      </w:r>
      <w:r w:rsidRPr="004C2B62">
        <w:rPr>
          <w:rFonts w:eastAsia="Times New Roman"/>
          <w:sz w:val="24"/>
          <w:lang w:eastAsia="de-DE"/>
        </w:rPr>
        <w:t xml:space="preserve"> </w:t>
      </w:r>
    </w:p>
    <w:p w14:paraId="7CF4F5D2" w14:textId="77777777" w:rsidR="006714BC" w:rsidRPr="00343F58" w:rsidRDefault="006714BC" w:rsidP="006714BC">
      <w:pPr>
        <w:pStyle w:val="berschrift2"/>
        <w:numPr>
          <w:ilvl w:val="0"/>
          <w:numId w:val="0"/>
        </w:numPr>
        <w:jc w:val="center"/>
      </w:pPr>
      <w:r>
        <w:lastRenderedPageBreak/>
        <w:t>Fall</w:t>
      </w:r>
      <w:r w:rsidRPr="00343F58">
        <w:t xml:space="preserve"> 1: „</w:t>
      </w:r>
      <w:r>
        <w:t>Facebook-Posts</w:t>
      </w:r>
      <w:r w:rsidRPr="00343F58">
        <w:t>“</w:t>
      </w:r>
    </w:p>
    <w:p w14:paraId="5C8762B6" w14:textId="77777777" w:rsidR="006714BC" w:rsidRPr="002654CD" w:rsidRDefault="006714BC" w:rsidP="006714BC">
      <w:pPr>
        <w:spacing w:line="276" w:lineRule="auto"/>
        <w:rPr>
          <w:rFonts w:cstheme="minorHAnsi"/>
          <w:b/>
          <w:bCs/>
          <w:sz w:val="24"/>
        </w:rPr>
      </w:pPr>
      <w:r w:rsidRPr="002654CD">
        <w:rPr>
          <w:rFonts w:cstheme="minorHAnsi"/>
          <w:b/>
          <w:bCs/>
          <w:sz w:val="24"/>
        </w:rPr>
        <w:t>Tatbestand:</w:t>
      </w:r>
    </w:p>
    <w:p w14:paraId="50E2CFD6" w14:textId="77777777" w:rsidR="006714BC" w:rsidRPr="00CE12DB" w:rsidRDefault="006714BC" w:rsidP="006714BC">
      <w:pPr>
        <w:numPr>
          <w:ilvl w:val="0"/>
          <w:numId w:val="0"/>
        </w:numPr>
        <w:spacing w:line="276" w:lineRule="auto"/>
        <w:ind w:left="284"/>
        <w:rPr>
          <w:rFonts w:cstheme="minorHAnsi"/>
          <w:sz w:val="24"/>
        </w:rPr>
      </w:pPr>
      <w:r w:rsidRPr="00CE12DB">
        <w:rPr>
          <w:rFonts w:cstheme="minorHAnsi"/>
          <w:sz w:val="24"/>
        </w:rPr>
        <w:t xml:space="preserve">Auf seinem öffentlich zugänglichen Facebook-Profil veröffentlichte </w:t>
      </w:r>
      <w:r>
        <w:rPr>
          <w:rFonts w:cstheme="minorHAnsi"/>
          <w:sz w:val="24"/>
        </w:rPr>
        <w:t>ein</w:t>
      </w:r>
      <w:r w:rsidRPr="00CE12DB">
        <w:rPr>
          <w:rFonts w:cstheme="minorHAnsi"/>
          <w:sz w:val="24"/>
        </w:rPr>
        <w:t xml:space="preserve"> </w:t>
      </w:r>
      <w:r>
        <w:rPr>
          <w:rFonts w:cstheme="minorHAnsi"/>
          <w:sz w:val="24"/>
        </w:rPr>
        <w:t xml:space="preserve">24-jähriger </w:t>
      </w:r>
      <w:r w:rsidRPr="00CE12DB">
        <w:rPr>
          <w:rFonts w:cstheme="minorHAnsi"/>
          <w:sz w:val="24"/>
        </w:rPr>
        <w:t>junge</w:t>
      </w:r>
      <w:r w:rsidR="00945432">
        <w:rPr>
          <w:rFonts w:cstheme="minorHAnsi"/>
          <w:sz w:val="24"/>
        </w:rPr>
        <w:t>r</w:t>
      </w:r>
      <w:r w:rsidRPr="00CE12DB">
        <w:rPr>
          <w:rFonts w:cstheme="minorHAnsi"/>
          <w:sz w:val="24"/>
        </w:rPr>
        <w:t xml:space="preserve"> Mann im März 2020 ein Foto von Rudolf Heß in Uniform mit Hakenkreuzbinde. Zu lesen war: </w:t>
      </w:r>
      <w:r>
        <w:rPr>
          <w:rFonts w:cstheme="minorHAnsi"/>
          <w:sz w:val="24"/>
        </w:rPr>
        <w:t>„</w:t>
      </w:r>
      <w:r w:rsidRPr="00CE12DB">
        <w:rPr>
          <w:rFonts w:cstheme="minorHAnsi"/>
          <w:sz w:val="24"/>
        </w:rPr>
        <w:t>Rudolf Heß - Ich bereue nichts!</w:t>
      </w:r>
      <w:r>
        <w:rPr>
          <w:rFonts w:cstheme="minorHAnsi"/>
          <w:sz w:val="24"/>
        </w:rPr>
        <w:t>“</w:t>
      </w:r>
      <w:r w:rsidRPr="00CE12DB">
        <w:rPr>
          <w:rFonts w:cstheme="minorHAnsi"/>
          <w:sz w:val="24"/>
        </w:rPr>
        <w:t xml:space="preserve">. Am 19. April 2020 stellte er dann ein Foto von Adolf Hitler </w:t>
      </w:r>
      <w:r>
        <w:rPr>
          <w:rFonts w:cstheme="minorHAnsi"/>
          <w:sz w:val="24"/>
        </w:rPr>
        <w:t xml:space="preserve">auf seine Seite </w:t>
      </w:r>
      <w:r w:rsidRPr="00CE12DB">
        <w:rPr>
          <w:rFonts w:cstheme="minorHAnsi"/>
          <w:sz w:val="24"/>
        </w:rPr>
        <w:t>und wies auf dessen Geburtstag (20. April) hin. Ergänzt wurde dies mit einem Link auf ein Video mit Bildmaterial aus der Zeit des Nationalsozialismus, unterlegt mit Auszügen aus Hitler-Reden.</w:t>
      </w:r>
    </w:p>
    <w:p w14:paraId="284C17EA" w14:textId="77777777" w:rsidR="006714BC" w:rsidRDefault="006714BC" w:rsidP="006714BC">
      <w:pPr>
        <w:numPr>
          <w:ilvl w:val="0"/>
          <w:numId w:val="0"/>
        </w:numPr>
        <w:spacing w:line="276" w:lineRule="auto"/>
        <w:ind w:left="284"/>
        <w:rPr>
          <w:rFonts w:cstheme="minorHAnsi"/>
          <w:b/>
          <w:bCs/>
          <w:sz w:val="24"/>
        </w:rPr>
      </w:pPr>
    </w:p>
    <w:p w14:paraId="0A3E3750" w14:textId="77777777" w:rsidR="006714BC" w:rsidRDefault="006714BC" w:rsidP="006714BC">
      <w:pPr>
        <w:spacing w:line="276" w:lineRule="auto"/>
        <w:rPr>
          <w:rFonts w:cstheme="minorHAnsi"/>
          <w:b/>
          <w:bCs/>
          <w:sz w:val="24"/>
        </w:rPr>
      </w:pPr>
      <w:r>
        <w:rPr>
          <w:rFonts w:cstheme="minorHAnsi"/>
          <w:b/>
          <w:bCs/>
          <w:sz w:val="24"/>
        </w:rPr>
        <w:t>Auszüge aus dem Strafgesetzbuch (StGB):</w:t>
      </w:r>
    </w:p>
    <w:p w14:paraId="0FDCC099" w14:textId="77777777" w:rsidR="006714BC" w:rsidRPr="006714BC" w:rsidRDefault="006714BC" w:rsidP="006714BC">
      <w:pPr>
        <w:numPr>
          <w:ilvl w:val="0"/>
          <w:numId w:val="0"/>
        </w:numPr>
        <w:spacing w:line="276" w:lineRule="auto"/>
        <w:ind w:left="284"/>
        <w:rPr>
          <w:rFonts w:cs="Calibri"/>
          <w:b/>
          <w:sz w:val="24"/>
        </w:rPr>
      </w:pPr>
      <w:r w:rsidRPr="006714BC">
        <w:rPr>
          <w:rFonts w:cs="Calibri"/>
          <w:b/>
          <w:sz w:val="24"/>
        </w:rPr>
        <w:t>§ 86a StGB – Verwendung verfassungswidriger Kennzeichen</w:t>
      </w:r>
    </w:p>
    <w:p w14:paraId="22D55A77" w14:textId="77777777" w:rsidR="006714BC" w:rsidRPr="00CE12DB" w:rsidRDefault="006714BC" w:rsidP="006714BC">
      <w:pPr>
        <w:numPr>
          <w:ilvl w:val="0"/>
          <w:numId w:val="0"/>
        </w:numPr>
        <w:spacing w:line="276" w:lineRule="auto"/>
        <w:ind w:left="284"/>
        <w:rPr>
          <w:rFonts w:cs="Calibri"/>
          <w:sz w:val="24"/>
        </w:rPr>
      </w:pPr>
      <w:r w:rsidRPr="00CE12DB">
        <w:rPr>
          <w:rFonts w:cs="Calibri"/>
          <w:sz w:val="24"/>
        </w:rPr>
        <w:t>Verwenden von Kennzeichen verfassungswidriger und terroristischer Organisationen</w:t>
      </w:r>
    </w:p>
    <w:p w14:paraId="6DFC5980" w14:textId="77777777" w:rsidR="006714BC" w:rsidRPr="00CE12DB" w:rsidRDefault="006714BC" w:rsidP="006714BC">
      <w:pPr>
        <w:numPr>
          <w:ilvl w:val="0"/>
          <w:numId w:val="0"/>
        </w:numPr>
        <w:spacing w:line="276" w:lineRule="auto"/>
        <w:ind w:left="284"/>
        <w:rPr>
          <w:rFonts w:cs="Calibri"/>
          <w:sz w:val="24"/>
        </w:rPr>
      </w:pPr>
      <w:r w:rsidRPr="00CE12DB">
        <w:rPr>
          <w:rFonts w:cs="Calibri"/>
          <w:sz w:val="24"/>
        </w:rPr>
        <w:t>(1) Mit Freiheitsstrafe bis zu drei Jahren oder mit Geldstrafe wird bestraft, wer</w:t>
      </w:r>
    </w:p>
    <w:p w14:paraId="05026E47" w14:textId="77777777" w:rsidR="006714BC" w:rsidRPr="00CE12DB" w:rsidRDefault="006714BC" w:rsidP="006714BC">
      <w:pPr>
        <w:numPr>
          <w:ilvl w:val="0"/>
          <w:numId w:val="0"/>
        </w:numPr>
        <w:tabs>
          <w:tab w:val="left" w:pos="270"/>
          <w:tab w:val="left" w:pos="501"/>
        </w:tabs>
        <w:spacing w:line="276" w:lineRule="auto"/>
        <w:ind w:left="567"/>
        <w:rPr>
          <w:rFonts w:cs="Calibri"/>
          <w:sz w:val="24"/>
        </w:rPr>
      </w:pPr>
      <w:r w:rsidRPr="00CE12DB">
        <w:rPr>
          <w:rFonts w:cs="Calibri"/>
          <w:sz w:val="24"/>
        </w:rPr>
        <w:t>1. im Inland Kennzeichen einer der in § 86 […] bezeichneten Parteien oder Vereinigungen verbreitet oder öffentlich, in einer Versammlung oder in einem von ihm verbreiteten Inhalt […] verwendet […]</w:t>
      </w:r>
    </w:p>
    <w:p w14:paraId="494D4720" w14:textId="77777777" w:rsidR="006714BC" w:rsidRPr="00CE12DB" w:rsidRDefault="006714BC" w:rsidP="006714BC">
      <w:pPr>
        <w:numPr>
          <w:ilvl w:val="0"/>
          <w:numId w:val="0"/>
        </w:numPr>
        <w:spacing w:line="276" w:lineRule="auto"/>
        <w:ind w:left="284"/>
        <w:rPr>
          <w:rFonts w:cs="Calibri"/>
          <w:sz w:val="24"/>
        </w:rPr>
      </w:pPr>
      <w:r w:rsidRPr="00CE12DB">
        <w:rPr>
          <w:rFonts w:cs="Calibri"/>
          <w:sz w:val="24"/>
        </w:rPr>
        <w:t>(2) Kennzeichen im Sinne des Absatzes 1 sind namentlich Fahnen, Abzeichen, Uniformstücke, Parolen und Grußformen. Den in Satz 1 genannten Kennzeichen stehen solche gleich, die ihnen zum Verwechseln ähnlich sind.</w:t>
      </w:r>
    </w:p>
    <w:p w14:paraId="34AE6C58" w14:textId="77777777" w:rsidR="006714BC" w:rsidRPr="006714BC" w:rsidRDefault="006714BC" w:rsidP="006714BC">
      <w:pPr>
        <w:numPr>
          <w:ilvl w:val="0"/>
          <w:numId w:val="0"/>
        </w:numPr>
        <w:spacing w:line="276" w:lineRule="auto"/>
        <w:ind w:left="284"/>
        <w:rPr>
          <w:rFonts w:cs="Calibri"/>
          <w:b/>
          <w:sz w:val="24"/>
        </w:rPr>
      </w:pPr>
      <w:r w:rsidRPr="006714BC">
        <w:rPr>
          <w:rFonts w:cs="Calibri"/>
          <w:b/>
          <w:sz w:val="24"/>
        </w:rPr>
        <w:t>§ 86 StGB – Verbreitung von Propagandamitteln</w:t>
      </w:r>
    </w:p>
    <w:p w14:paraId="227F3E04" w14:textId="77777777" w:rsidR="006714BC" w:rsidRPr="00CE12DB" w:rsidRDefault="006714BC" w:rsidP="006714BC">
      <w:pPr>
        <w:numPr>
          <w:ilvl w:val="0"/>
          <w:numId w:val="0"/>
        </w:numPr>
        <w:spacing w:line="276" w:lineRule="auto"/>
        <w:ind w:left="284"/>
        <w:rPr>
          <w:rFonts w:cs="Calibri"/>
          <w:sz w:val="24"/>
        </w:rPr>
      </w:pPr>
      <w:r w:rsidRPr="00CE12DB">
        <w:rPr>
          <w:rFonts w:cs="Calibri"/>
          <w:sz w:val="24"/>
        </w:rPr>
        <w:t>Verbreiten von Propagandamitteln verfassungswidriger und terroristischer Organisationen</w:t>
      </w:r>
    </w:p>
    <w:p w14:paraId="067AF553" w14:textId="77777777" w:rsidR="006714BC" w:rsidRPr="00CE12DB" w:rsidRDefault="006714BC" w:rsidP="006714BC">
      <w:pPr>
        <w:numPr>
          <w:ilvl w:val="0"/>
          <w:numId w:val="0"/>
        </w:numPr>
        <w:spacing w:line="276" w:lineRule="auto"/>
        <w:ind w:left="284"/>
        <w:rPr>
          <w:rFonts w:cs="Calibri"/>
          <w:sz w:val="24"/>
        </w:rPr>
      </w:pPr>
      <w:r w:rsidRPr="00CE12DB">
        <w:rPr>
          <w:rFonts w:cs="Calibri"/>
          <w:sz w:val="24"/>
        </w:rPr>
        <w:t>(1) Wer Propagandamittel […] die nach ihrem Inhalt dazu bestimmt sind, Bestrebungen einer ehemaligen nationalsozialistischen Organisation fortzusetzen, im Inland verbreitet oder der Öffentlichkeit zugänglich macht oder zur Verbreitung im Inland oder Ausland herstellt, vorrätig hält, einführt oder ausführt, wird mit Freiheitsstrafe bis zu drei Jahren oder mit Geldstrafe bestraft. […]</w:t>
      </w:r>
    </w:p>
    <w:p w14:paraId="36222AC6" w14:textId="77777777" w:rsidR="006714BC" w:rsidRPr="00CE12DB" w:rsidRDefault="006714BC" w:rsidP="006714BC">
      <w:pPr>
        <w:numPr>
          <w:ilvl w:val="0"/>
          <w:numId w:val="0"/>
        </w:numPr>
        <w:spacing w:line="276" w:lineRule="auto"/>
        <w:ind w:left="284"/>
        <w:rPr>
          <w:rFonts w:cs="Calibri"/>
          <w:sz w:val="24"/>
        </w:rPr>
      </w:pPr>
      <w:r w:rsidRPr="00CE12DB">
        <w:rPr>
          <w:rFonts w:cs="Calibri"/>
          <w:sz w:val="24"/>
        </w:rPr>
        <w:t>(4) [Die Bestimmungen] gelten nicht, wenn die Handlung der staatsbürgerlichen Aufklärung, der Abwehr verfassungswidriger Bestrebungen, der Kunst oder der Wissenschaft, der Forschung oder der Lehre, der Berichterstattung über Vorgänge des Zeitgeschehens oder der Geschichte oder ähnlichen Zwecken dient.</w:t>
      </w:r>
    </w:p>
    <w:p w14:paraId="57CFBB8E" w14:textId="77777777" w:rsidR="006714BC" w:rsidRPr="00CE12DB" w:rsidRDefault="006714BC" w:rsidP="006714BC">
      <w:pPr>
        <w:numPr>
          <w:ilvl w:val="0"/>
          <w:numId w:val="0"/>
        </w:numPr>
        <w:spacing w:line="276" w:lineRule="auto"/>
        <w:ind w:left="284"/>
        <w:rPr>
          <w:rFonts w:cs="Calibri"/>
          <w:sz w:val="24"/>
        </w:rPr>
      </w:pPr>
      <w:r w:rsidRPr="00CE12DB">
        <w:rPr>
          <w:rFonts w:cs="Calibri"/>
          <w:sz w:val="24"/>
        </w:rPr>
        <w:t>(5) Ist die Schuld gering, so kann das Gericht von einer Bestrafung nach dieser Vorschrift absehen.</w:t>
      </w:r>
    </w:p>
    <w:p w14:paraId="575B1751" w14:textId="77777777" w:rsidR="006714BC" w:rsidRPr="00CE12DB" w:rsidRDefault="006714BC" w:rsidP="006714BC">
      <w:pPr>
        <w:numPr>
          <w:ilvl w:val="0"/>
          <w:numId w:val="0"/>
        </w:numPr>
        <w:spacing w:line="276" w:lineRule="auto"/>
        <w:ind w:left="284"/>
        <w:rPr>
          <w:rFonts w:cs="Calibri"/>
          <w:sz w:val="24"/>
        </w:rPr>
      </w:pPr>
    </w:p>
    <w:p w14:paraId="5C9A6B5F" w14:textId="77777777" w:rsidR="006714BC" w:rsidRPr="00686E0E" w:rsidRDefault="006714BC" w:rsidP="006714BC">
      <w:pPr>
        <w:pBdr>
          <w:top w:val="single" w:sz="4" w:space="1" w:color="auto"/>
          <w:left w:val="single" w:sz="4" w:space="4" w:color="auto"/>
          <w:bottom w:val="single" w:sz="4" w:space="1" w:color="auto"/>
          <w:right w:val="single" w:sz="4" w:space="4" w:color="auto"/>
        </w:pBdr>
        <w:spacing w:line="276" w:lineRule="auto"/>
        <w:rPr>
          <w:rFonts w:cstheme="minorHAnsi"/>
          <w:b/>
          <w:bCs/>
          <w:sz w:val="24"/>
        </w:rPr>
      </w:pPr>
      <w:r w:rsidRPr="0040432D">
        <w:rPr>
          <w:rFonts w:cstheme="minorHAnsi"/>
          <w:b/>
          <w:bCs/>
          <w:sz w:val="24"/>
        </w:rPr>
        <w:t>Diskutiert den Fall</w:t>
      </w:r>
      <w:r>
        <w:rPr>
          <w:rFonts w:cstheme="minorHAnsi"/>
          <w:b/>
          <w:bCs/>
          <w:sz w:val="24"/>
        </w:rPr>
        <w:t>. Einigt Euch schließlich auf ein Urteil und begründet es in Stichpunkten</w:t>
      </w:r>
      <w:r w:rsidRPr="0040432D">
        <w:rPr>
          <w:rFonts w:cstheme="minorHAnsi"/>
          <w:b/>
          <w:bCs/>
          <w:sz w:val="24"/>
        </w:rPr>
        <w:t xml:space="preserve">. </w:t>
      </w:r>
    </w:p>
    <w:p w14:paraId="2B15F966" w14:textId="77777777" w:rsidR="006714BC" w:rsidRDefault="006714BC" w:rsidP="006714BC">
      <w:pPr>
        <w:rPr>
          <w:rFonts w:cstheme="minorHAnsi"/>
          <w:sz w:val="24"/>
        </w:rPr>
      </w:pPr>
      <w:r>
        <w:rPr>
          <w:rFonts w:cstheme="minorHAnsi"/>
          <w:sz w:val="24"/>
        </w:rPr>
        <w:br w:type="page"/>
      </w:r>
    </w:p>
    <w:p w14:paraId="050D8863" w14:textId="77777777" w:rsidR="006714BC" w:rsidRPr="002654CD" w:rsidRDefault="006714BC" w:rsidP="006714BC">
      <w:pPr>
        <w:spacing w:line="276" w:lineRule="auto"/>
        <w:rPr>
          <w:rFonts w:cstheme="minorHAnsi"/>
          <w:b/>
          <w:bCs/>
          <w:sz w:val="24"/>
        </w:rPr>
      </w:pPr>
      <w:r w:rsidRPr="002654CD">
        <w:rPr>
          <w:rFonts w:cstheme="minorHAnsi"/>
          <w:b/>
          <w:bCs/>
          <w:sz w:val="24"/>
        </w:rPr>
        <w:lastRenderedPageBreak/>
        <w:t>Urteil:</w:t>
      </w:r>
    </w:p>
    <w:p w14:paraId="7335F8A2" w14:textId="63E5D14D" w:rsidR="006714BC" w:rsidRPr="002654CD" w:rsidRDefault="006714BC" w:rsidP="006714BC">
      <w:pPr>
        <w:numPr>
          <w:ilvl w:val="0"/>
          <w:numId w:val="0"/>
        </w:numPr>
        <w:spacing w:line="276" w:lineRule="auto"/>
        <w:ind w:left="284"/>
        <w:rPr>
          <w:rFonts w:cstheme="minorHAnsi"/>
          <w:sz w:val="24"/>
        </w:rPr>
      </w:pPr>
      <w:r>
        <w:rPr>
          <w:rFonts w:cstheme="minorHAnsi"/>
          <w:sz w:val="24"/>
        </w:rPr>
        <w:t>Das Gericht verurteilt</w:t>
      </w:r>
      <w:r w:rsidR="00D8586C">
        <w:rPr>
          <w:rFonts w:cstheme="minorHAnsi"/>
          <w:sz w:val="24"/>
        </w:rPr>
        <w:t>e</w:t>
      </w:r>
      <w:bookmarkStart w:id="7" w:name="_GoBack"/>
      <w:bookmarkEnd w:id="7"/>
      <w:r>
        <w:rPr>
          <w:rFonts w:cstheme="minorHAnsi"/>
          <w:sz w:val="24"/>
        </w:rPr>
        <w:t xml:space="preserve"> den Angeklagten zu einer </w:t>
      </w:r>
      <w:r w:rsidRPr="002654CD">
        <w:rPr>
          <w:rFonts w:cstheme="minorHAnsi"/>
          <w:sz w:val="24"/>
        </w:rPr>
        <w:t>Geldstrafe in Höhe von 3250 Euro (50 Tagessätze je 65 Euro) wegen Verwendens von Kennzeichen verfassungswidriger Organisationen in zwei Fällen</w:t>
      </w:r>
      <w:r>
        <w:rPr>
          <w:rFonts w:cstheme="minorHAnsi"/>
          <w:sz w:val="24"/>
        </w:rPr>
        <w:t>.</w:t>
      </w:r>
    </w:p>
    <w:p w14:paraId="7890414E" w14:textId="77777777" w:rsidR="006714BC" w:rsidRPr="002654CD" w:rsidRDefault="006714BC" w:rsidP="006714BC">
      <w:pPr>
        <w:spacing w:line="276" w:lineRule="auto"/>
        <w:rPr>
          <w:rFonts w:cstheme="minorHAnsi"/>
          <w:b/>
          <w:bCs/>
          <w:sz w:val="24"/>
        </w:rPr>
      </w:pPr>
      <w:r>
        <w:rPr>
          <w:rFonts w:cstheme="minorHAnsi"/>
          <w:b/>
          <w:bCs/>
          <w:sz w:val="24"/>
        </w:rPr>
        <w:t>Auszüge aus der Urteilsb</w:t>
      </w:r>
      <w:r w:rsidRPr="002654CD">
        <w:rPr>
          <w:rFonts w:cstheme="minorHAnsi"/>
          <w:b/>
          <w:bCs/>
          <w:sz w:val="24"/>
        </w:rPr>
        <w:t>egründung:</w:t>
      </w:r>
    </w:p>
    <w:p w14:paraId="51264140" w14:textId="77777777" w:rsidR="006714BC" w:rsidRPr="006714BC" w:rsidRDefault="006714BC" w:rsidP="006714BC">
      <w:pPr>
        <w:numPr>
          <w:ilvl w:val="0"/>
          <w:numId w:val="0"/>
        </w:numPr>
        <w:spacing w:line="276" w:lineRule="auto"/>
        <w:ind w:left="284"/>
        <w:rPr>
          <w:rFonts w:cstheme="minorHAnsi"/>
          <w:sz w:val="24"/>
        </w:rPr>
      </w:pPr>
      <w:r w:rsidRPr="006714BC">
        <w:rPr>
          <w:rFonts w:cstheme="minorHAnsi"/>
          <w:sz w:val="24"/>
        </w:rPr>
        <w:t>„Die dagegen gerichtete Berufung des Angeklagten blieb nun erfolglos. Auch die 5. Kleine Strafkammer des Landgerichts wertete beide Posts als verbotene Verwendung der Kennzeichen verfassungswidriger Organisationen. Das gelte ohne Weiteres für das Hakenkreuz, das auf dem Bild von Rudolf Heß prominent zu sehen sei, so die Kammer. Es gelte aber ebenso für das Bild von Adolf Hitler. Denn der Angeklagte habe bewusst das Bild Hitlers als Symbol und Inbegriff für die verbotene NSDAP genutzt. […] Gesetzliche Ausnahmen, die eine Verbreitung entsprechender Symbole und Aufnahmen z.B. im Rahmen einer kritischen Auseinandersetzung mit dem Nationalsozialismus erlauben, seien eindeutig nicht einschlägig. Vielmehr zeige der gesamte Kontext der Posts, dass der Angeklagte damit seine positive Einstellung zu der nationalsozialistischen Ideologie habe kundtun wollen. Auch das vom Amtsgericht verhängte Strafmaß von 50 Tagessätzen bestätigte das Landgericht. Lediglich die Höhe des einzelnen Tagessatzes reduzierte das Landgericht auf EUR 40,00, da das verfügbare Einkommen des Angeklagten zwischenzeitlich gesunken war.“</w:t>
      </w:r>
    </w:p>
    <w:p w14:paraId="43A20E17" w14:textId="77777777" w:rsidR="006714BC" w:rsidRDefault="006714BC" w:rsidP="006714BC">
      <w:pPr>
        <w:pStyle w:val="marginx0"/>
        <w:spacing w:before="0" w:beforeAutospacing="0" w:after="0" w:afterAutospacing="0" w:line="276" w:lineRule="auto"/>
        <w:rPr>
          <w:rFonts w:ascii="Calibri" w:hAnsi="Calibri" w:cs="Calibri"/>
          <w:b/>
          <w:sz w:val="20"/>
          <w:szCs w:val="20"/>
        </w:rPr>
      </w:pPr>
    </w:p>
    <w:p w14:paraId="3B035A07" w14:textId="77777777" w:rsidR="006714BC" w:rsidRPr="006714BC" w:rsidRDefault="006714BC" w:rsidP="006714BC">
      <w:pPr>
        <w:pStyle w:val="Listenabsatz"/>
      </w:pPr>
      <w:r w:rsidRPr="00A05C1B">
        <w:rPr>
          <w:b/>
        </w:rPr>
        <w:t>Quelle</w:t>
      </w:r>
      <w:r w:rsidRPr="006714BC">
        <w:t>: https://www.kostenlose-urteile.de/LG-Osnabrueck_5-Ns-13620_Verbreitung-von-Abbildungen-von-Taetern-des-Nationalsozialismus-kann-strafbar-sein.news29729.htm?sk=91efcef756e912dd741e95308aa2d1a9 (Stand: 1. Dezember 2021)</w:t>
      </w:r>
    </w:p>
    <w:p w14:paraId="0AA197F0" w14:textId="77777777" w:rsidR="006714BC" w:rsidRPr="002654CD" w:rsidRDefault="006714BC" w:rsidP="006714BC">
      <w:pPr>
        <w:spacing w:line="276" w:lineRule="auto"/>
        <w:rPr>
          <w:rFonts w:cstheme="minorHAnsi"/>
          <w:sz w:val="24"/>
        </w:rPr>
      </w:pPr>
      <w:r w:rsidRPr="002654CD">
        <w:rPr>
          <w:rFonts w:cstheme="minorHAnsi"/>
          <w:sz w:val="24"/>
        </w:rPr>
        <w:br w:type="page"/>
      </w:r>
    </w:p>
    <w:p w14:paraId="744E7A0C" w14:textId="77777777" w:rsidR="006714BC" w:rsidRPr="00343F58" w:rsidRDefault="006714BC" w:rsidP="006714BC">
      <w:pPr>
        <w:pStyle w:val="berschrift2"/>
        <w:numPr>
          <w:ilvl w:val="0"/>
          <w:numId w:val="0"/>
        </w:numPr>
        <w:jc w:val="center"/>
      </w:pPr>
      <w:r>
        <w:lastRenderedPageBreak/>
        <w:t>Fall</w:t>
      </w:r>
      <w:r w:rsidRPr="00343F58">
        <w:t xml:space="preserve"> </w:t>
      </w:r>
      <w:r>
        <w:t>2</w:t>
      </w:r>
      <w:r w:rsidRPr="00343F58">
        <w:t>: „</w:t>
      </w:r>
      <w:r>
        <w:t>Eine Beleidigung</w:t>
      </w:r>
      <w:r w:rsidRPr="00343F58">
        <w:t>“</w:t>
      </w:r>
    </w:p>
    <w:p w14:paraId="01AD107B" w14:textId="77777777" w:rsidR="006714BC" w:rsidRPr="002654CD" w:rsidRDefault="006714BC" w:rsidP="006714BC">
      <w:pPr>
        <w:spacing w:line="276" w:lineRule="auto"/>
        <w:rPr>
          <w:rFonts w:cstheme="minorHAnsi"/>
          <w:b/>
          <w:bCs/>
          <w:sz w:val="24"/>
        </w:rPr>
      </w:pPr>
      <w:r w:rsidRPr="002654CD">
        <w:rPr>
          <w:rFonts w:cstheme="minorHAnsi"/>
          <w:b/>
          <w:bCs/>
          <w:sz w:val="24"/>
        </w:rPr>
        <w:t>Tatbestand:</w:t>
      </w:r>
    </w:p>
    <w:p w14:paraId="675DE45F" w14:textId="77777777" w:rsidR="006714BC" w:rsidRPr="002654CD" w:rsidRDefault="006714BC" w:rsidP="006714BC">
      <w:pPr>
        <w:numPr>
          <w:ilvl w:val="0"/>
          <w:numId w:val="0"/>
        </w:numPr>
        <w:spacing w:line="276" w:lineRule="auto"/>
        <w:ind w:left="284"/>
        <w:rPr>
          <w:rFonts w:cstheme="minorHAnsi"/>
          <w:sz w:val="24"/>
        </w:rPr>
      </w:pPr>
      <w:r w:rsidRPr="002654CD">
        <w:rPr>
          <w:rFonts w:cstheme="minorHAnsi"/>
          <w:sz w:val="24"/>
        </w:rPr>
        <w:t xml:space="preserve">In einem Ort wurden die Mitteilungen der Gemeindeverwaltung von einem Verleger herausgegeben, der auch rechtsradikale Schriften verlegt. Der Vorsitzende der jüdischen Gemeinde forderte, dass die </w:t>
      </w:r>
      <w:r>
        <w:rPr>
          <w:rFonts w:cstheme="minorHAnsi"/>
          <w:sz w:val="24"/>
        </w:rPr>
        <w:t>örtliche Verwaltung</w:t>
      </w:r>
      <w:r w:rsidRPr="002654CD">
        <w:rPr>
          <w:rFonts w:cstheme="minorHAnsi"/>
          <w:sz w:val="24"/>
        </w:rPr>
        <w:t xml:space="preserve"> einen anderen Verleger beauftragt. Daraufhin bezeichnete der Verleger den Vorsitzenden der jüdischen Gemeinde als „freche</w:t>
      </w:r>
      <w:r>
        <w:rPr>
          <w:rFonts w:cstheme="minorHAnsi"/>
          <w:sz w:val="24"/>
        </w:rPr>
        <w:t>n</w:t>
      </w:r>
      <w:r w:rsidRPr="002654CD">
        <w:rPr>
          <w:rFonts w:cstheme="minorHAnsi"/>
          <w:sz w:val="24"/>
        </w:rPr>
        <w:t xml:space="preserve"> Juden-Funktionär“ und rief zum Boykott der jüdischen Gemeinde auf. </w:t>
      </w:r>
    </w:p>
    <w:p w14:paraId="180EF85E" w14:textId="77777777" w:rsidR="006714BC" w:rsidRDefault="006714BC" w:rsidP="006714BC">
      <w:pPr>
        <w:numPr>
          <w:ilvl w:val="0"/>
          <w:numId w:val="0"/>
        </w:numPr>
        <w:spacing w:line="276" w:lineRule="auto"/>
        <w:ind w:left="284"/>
        <w:rPr>
          <w:rFonts w:cstheme="minorHAnsi"/>
          <w:b/>
          <w:bCs/>
          <w:sz w:val="24"/>
        </w:rPr>
      </w:pPr>
    </w:p>
    <w:p w14:paraId="115AEF30" w14:textId="77777777" w:rsidR="006714BC" w:rsidRDefault="006714BC" w:rsidP="006714BC">
      <w:pPr>
        <w:spacing w:line="276" w:lineRule="auto"/>
        <w:rPr>
          <w:rFonts w:cstheme="minorHAnsi"/>
          <w:b/>
          <w:bCs/>
          <w:sz w:val="24"/>
        </w:rPr>
      </w:pPr>
      <w:r>
        <w:rPr>
          <w:rFonts w:cstheme="minorHAnsi"/>
          <w:b/>
          <w:bCs/>
          <w:sz w:val="24"/>
        </w:rPr>
        <w:t>Auszüge aus dem Grundgesetz und dem Strafgesetzbuch (StGB):</w:t>
      </w:r>
    </w:p>
    <w:p w14:paraId="6896D163" w14:textId="77777777" w:rsidR="006714BC" w:rsidRPr="006714BC" w:rsidRDefault="006714BC" w:rsidP="006714BC">
      <w:pPr>
        <w:numPr>
          <w:ilvl w:val="0"/>
          <w:numId w:val="0"/>
        </w:numPr>
        <w:spacing w:line="276" w:lineRule="auto"/>
        <w:ind w:left="284"/>
        <w:rPr>
          <w:rFonts w:cs="Calibri"/>
          <w:b/>
          <w:sz w:val="24"/>
        </w:rPr>
      </w:pPr>
      <w:r w:rsidRPr="006714BC">
        <w:rPr>
          <w:rFonts w:cs="Calibri"/>
          <w:b/>
          <w:sz w:val="24"/>
        </w:rPr>
        <w:t>§ 130 StGB – Volksverhetzung</w:t>
      </w:r>
    </w:p>
    <w:p w14:paraId="7CEBB1B5" w14:textId="77777777" w:rsidR="006714BC" w:rsidRPr="00A959CA" w:rsidRDefault="006714BC" w:rsidP="006714BC">
      <w:pPr>
        <w:numPr>
          <w:ilvl w:val="0"/>
          <w:numId w:val="0"/>
        </w:numPr>
        <w:spacing w:line="276" w:lineRule="auto"/>
        <w:ind w:left="284"/>
        <w:rPr>
          <w:rFonts w:cs="Calibri"/>
          <w:sz w:val="24"/>
        </w:rPr>
      </w:pPr>
      <w:r w:rsidRPr="00A959CA">
        <w:rPr>
          <w:rFonts w:cs="Calibri"/>
          <w:sz w:val="24"/>
        </w:rPr>
        <w:t>(1) Wer in einer Weise, die geeignet ist, den öffentlichen Frieden zu stören,</w:t>
      </w:r>
    </w:p>
    <w:p w14:paraId="790D586C" w14:textId="77777777" w:rsidR="006714BC" w:rsidRPr="00A959CA" w:rsidRDefault="006714BC" w:rsidP="006714BC">
      <w:pPr>
        <w:numPr>
          <w:ilvl w:val="0"/>
          <w:numId w:val="0"/>
        </w:numPr>
        <w:tabs>
          <w:tab w:val="left" w:pos="270"/>
          <w:tab w:val="left" w:pos="501"/>
        </w:tabs>
        <w:spacing w:line="276" w:lineRule="auto"/>
        <w:ind w:left="851" w:hanging="284"/>
        <w:rPr>
          <w:rFonts w:cs="Calibri"/>
          <w:sz w:val="24"/>
        </w:rPr>
      </w:pPr>
      <w:r w:rsidRPr="00A959CA">
        <w:rPr>
          <w:rFonts w:cs="Calibri"/>
          <w:sz w:val="24"/>
        </w:rPr>
        <w:t xml:space="preserve">1. </w:t>
      </w:r>
      <w:r>
        <w:rPr>
          <w:rFonts w:cs="Calibri"/>
          <w:sz w:val="24"/>
        </w:rPr>
        <w:tab/>
      </w:r>
      <w:r w:rsidRPr="00A959CA">
        <w:rPr>
          <w:rFonts w:cs="Calibri"/>
          <w:sz w:val="24"/>
        </w:rPr>
        <w:t>gegen eine nationale, rassische, religiöse oder durch ihre ethnische Herkunft bestimmte Gruppe, gegen Teile der Bevölkerung oder gegen einen Einzelnen wegen seiner Zugehörigkeit zu einer vorbezeichneten Gruppe oder zu einem Teil der Bevölkerung zum Hass aufstachelt, zu Gewalt- oder Willkürmaßnahmen auffordert oder</w:t>
      </w:r>
    </w:p>
    <w:p w14:paraId="10062830" w14:textId="77777777" w:rsidR="00D23C73" w:rsidRDefault="006714BC" w:rsidP="00D23C73">
      <w:pPr>
        <w:numPr>
          <w:ilvl w:val="0"/>
          <w:numId w:val="0"/>
        </w:numPr>
        <w:tabs>
          <w:tab w:val="left" w:pos="270"/>
          <w:tab w:val="left" w:pos="501"/>
        </w:tabs>
        <w:spacing w:line="276" w:lineRule="auto"/>
        <w:ind w:left="851" w:hanging="284"/>
        <w:rPr>
          <w:rFonts w:cs="Calibri"/>
          <w:sz w:val="24"/>
        </w:rPr>
      </w:pPr>
      <w:r w:rsidRPr="00A959CA">
        <w:rPr>
          <w:rFonts w:cs="Calibri"/>
          <w:sz w:val="24"/>
        </w:rPr>
        <w:t xml:space="preserve">2. </w:t>
      </w:r>
      <w:r w:rsidRPr="00A959CA">
        <w:rPr>
          <w:rFonts w:cs="Calibri"/>
          <w:sz w:val="24"/>
        </w:rPr>
        <w:tab/>
        <w:t>die Menschenwürde anderer dadurch angreift, dass er eine vorbezeichnete Gruppe, Teile der Bevölkerung oder einen Einzelnen wegen seiner Zugehörigkeit zu einer vorbezeichneten Gruppe oder zu einem Teil der Bevölkerung beschimpft, böswillig verächtlich macht oder verleumdet,</w:t>
      </w:r>
    </w:p>
    <w:p w14:paraId="57408424" w14:textId="77777777" w:rsidR="006714BC" w:rsidRPr="00A959CA" w:rsidRDefault="00D23C73" w:rsidP="00D23C73">
      <w:pPr>
        <w:numPr>
          <w:ilvl w:val="0"/>
          <w:numId w:val="0"/>
        </w:numPr>
        <w:tabs>
          <w:tab w:val="left" w:pos="270"/>
          <w:tab w:val="left" w:pos="501"/>
        </w:tabs>
        <w:spacing w:line="276" w:lineRule="auto"/>
        <w:ind w:left="851" w:hanging="284"/>
        <w:rPr>
          <w:rFonts w:cs="Calibri"/>
          <w:sz w:val="24"/>
        </w:rPr>
      </w:pPr>
      <w:r>
        <w:rPr>
          <w:rFonts w:cs="Calibri"/>
          <w:sz w:val="24"/>
        </w:rPr>
        <w:t xml:space="preserve"> </w:t>
      </w:r>
      <w:r w:rsidR="006714BC" w:rsidRPr="00A959CA">
        <w:rPr>
          <w:rFonts w:cs="Calibri"/>
          <w:sz w:val="24"/>
        </w:rPr>
        <w:t>wird mit Freiheitsstrafe von drei Monaten bis zu fünf Jahren bestraft. […]</w:t>
      </w:r>
    </w:p>
    <w:p w14:paraId="611A3696" w14:textId="77777777" w:rsidR="006714BC" w:rsidRPr="006714BC" w:rsidRDefault="006714BC" w:rsidP="006714BC">
      <w:pPr>
        <w:numPr>
          <w:ilvl w:val="0"/>
          <w:numId w:val="0"/>
        </w:numPr>
        <w:spacing w:line="276" w:lineRule="auto"/>
        <w:ind w:left="284"/>
        <w:rPr>
          <w:rFonts w:cs="Calibri"/>
          <w:b/>
          <w:sz w:val="24"/>
        </w:rPr>
      </w:pPr>
      <w:r w:rsidRPr="006714BC">
        <w:rPr>
          <w:rFonts w:cs="Calibri"/>
          <w:b/>
          <w:sz w:val="24"/>
        </w:rPr>
        <w:t>§ 185 StGB – Beleidigung</w:t>
      </w:r>
    </w:p>
    <w:p w14:paraId="45AD0CB5" w14:textId="77777777" w:rsidR="006714BC" w:rsidRPr="00A959CA" w:rsidRDefault="006714BC" w:rsidP="006714BC">
      <w:pPr>
        <w:numPr>
          <w:ilvl w:val="0"/>
          <w:numId w:val="0"/>
        </w:numPr>
        <w:spacing w:line="276" w:lineRule="auto"/>
        <w:ind w:left="284"/>
        <w:rPr>
          <w:rFonts w:cs="Calibri"/>
          <w:sz w:val="24"/>
        </w:rPr>
      </w:pPr>
      <w:r w:rsidRPr="00A959CA">
        <w:rPr>
          <w:rFonts w:cs="Calibri"/>
          <w:sz w:val="24"/>
        </w:rPr>
        <w:t>Die Beleidigung wird mit Freiheitsstrafe bis zu einem Jahr oder mit Geldstrafe und, wenn die Beleidigung öffentlich, in einer Versammlung, durch Verbreiten eines Inhalts […] oder mittels einer Tätlichkeit begangen wird, mit Freiheitsstrafe bis zu zwei Jahren oder mit Geldstrafe bestraft.</w:t>
      </w:r>
    </w:p>
    <w:p w14:paraId="1ACD4B08" w14:textId="77777777" w:rsidR="006714BC" w:rsidRPr="006714BC" w:rsidRDefault="006714BC" w:rsidP="006714BC">
      <w:pPr>
        <w:numPr>
          <w:ilvl w:val="0"/>
          <w:numId w:val="0"/>
        </w:numPr>
        <w:spacing w:line="276" w:lineRule="auto"/>
        <w:ind w:left="284"/>
        <w:rPr>
          <w:rFonts w:cs="Calibri"/>
          <w:b/>
          <w:sz w:val="24"/>
        </w:rPr>
      </w:pPr>
      <w:r w:rsidRPr="006714BC">
        <w:rPr>
          <w:rFonts w:cs="Calibri"/>
          <w:b/>
          <w:sz w:val="24"/>
        </w:rPr>
        <w:t>Grundgesetz, Artikel 1</w:t>
      </w:r>
    </w:p>
    <w:p w14:paraId="50C42C20" w14:textId="77777777" w:rsidR="006714BC" w:rsidRPr="00A959CA" w:rsidRDefault="006714BC" w:rsidP="006714BC">
      <w:pPr>
        <w:numPr>
          <w:ilvl w:val="0"/>
          <w:numId w:val="0"/>
        </w:numPr>
        <w:spacing w:line="276" w:lineRule="auto"/>
        <w:ind w:left="284"/>
        <w:rPr>
          <w:rFonts w:cs="Calibri"/>
          <w:sz w:val="24"/>
        </w:rPr>
      </w:pPr>
      <w:r w:rsidRPr="00A959CA">
        <w:rPr>
          <w:rFonts w:cs="Calibri"/>
          <w:sz w:val="24"/>
        </w:rPr>
        <w:t>Die Würde des Menschen ist unantastbar. Sie zu achten und zu schützen ist Verpflichtung aller staatlichen Gewalt.</w:t>
      </w:r>
    </w:p>
    <w:p w14:paraId="10DDA6A3" w14:textId="77777777" w:rsidR="006714BC" w:rsidRPr="00A959CA" w:rsidRDefault="006714BC" w:rsidP="006714BC">
      <w:pPr>
        <w:numPr>
          <w:ilvl w:val="0"/>
          <w:numId w:val="0"/>
        </w:numPr>
        <w:spacing w:line="276" w:lineRule="auto"/>
        <w:ind w:left="284"/>
        <w:rPr>
          <w:rFonts w:cs="Calibri"/>
          <w:sz w:val="24"/>
        </w:rPr>
      </w:pPr>
    </w:p>
    <w:p w14:paraId="224E7AFB" w14:textId="77777777" w:rsidR="006714BC" w:rsidRPr="00686E0E" w:rsidRDefault="006714BC" w:rsidP="006714BC">
      <w:pPr>
        <w:pBdr>
          <w:top w:val="single" w:sz="4" w:space="1" w:color="auto"/>
          <w:left w:val="single" w:sz="4" w:space="4" w:color="auto"/>
          <w:bottom w:val="single" w:sz="4" w:space="1" w:color="auto"/>
          <w:right w:val="single" w:sz="4" w:space="4" w:color="auto"/>
        </w:pBdr>
        <w:spacing w:line="276" w:lineRule="auto"/>
        <w:rPr>
          <w:rFonts w:cstheme="minorHAnsi"/>
          <w:b/>
          <w:bCs/>
          <w:sz w:val="24"/>
        </w:rPr>
      </w:pPr>
      <w:r w:rsidRPr="0040432D">
        <w:rPr>
          <w:rFonts w:cstheme="minorHAnsi"/>
          <w:b/>
          <w:bCs/>
          <w:sz w:val="24"/>
        </w:rPr>
        <w:t>Diskutiert den Fall</w:t>
      </w:r>
      <w:r>
        <w:rPr>
          <w:rFonts w:cstheme="minorHAnsi"/>
          <w:b/>
          <w:bCs/>
          <w:sz w:val="24"/>
        </w:rPr>
        <w:t>. Einigt Euch schließlich auf ein Urteil und begründet es in Stichpunkten</w:t>
      </w:r>
      <w:r w:rsidRPr="0040432D">
        <w:rPr>
          <w:rFonts w:cstheme="minorHAnsi"/>
          <w:b/>
          <w:bCs/>
          <w:sz w:val="24"/>
        </w:rPr>
        <w:t xml:space="preserve">. </w:t>
      </w:r>
    </w:p>
    <w:p w14:paraId="37D0B8C4" w14:textId="77777777" w:rsidR="006714BC" w:rsidRDefault="006714BC" w:rsidP="006714BC">
      <w:pPr>
        <w:rPr>
          <w:rFonts w:cstheme="minorHAnsi"/>
          <w:b/>
          <w:bCs/>
          <w:sz w:val="24"/>
        </w:rPr>
      </w:pPr>
      <w:r>
        <w:rPr>
          <w:rFonts w:cstheme="minorHAnsi"/>
          <w:b/>
          <w:bCs/>
          <w:sz w:val="24"/>
        </w:rPr>
        <w:br w:type="page"/>
      </w:r>
    </w:p>
    <w:p w14:paraId="5D4CF8EA" w14:textId="77777777" w:rsidR="006714BC" w:rsidRPr="002654CD" w:rsidRDefault="006714BC" w:rsidP="006714BC">
      <w:pPr>
        <w:spacing w:line="276" w:lineRule="auto"/>
        <w:rPr>
          <w:rFonts w:cstheme="minorHAnsi"/>
          <w:b/>
          <w:bCs/>
          <w:sz w:val="24"/>
        </w:rPr>
      </w:pPr>
      <w:r w:rsidRPr="002654CD">
        <w:rPr>
          <w:rFonts w:cstheme="minorHAnsi"/>
          <w:b/>
          <w:bCs/>
          <w:sz w:val="24"/>
        </w:rPr>
        <w:lastRenderedPageBreak/>
        <w:t>Urteil:</w:t>
      </w:r>
    </w:p>
    <w:p w14:paraId="6CF60E4F" w14:textId="49296568" w:rsidR="006714BC" w:rsidRPr="002654CD" w:rsidRDefault="006714BC" w:rsidP="006714BC">
      <w:pPr>
        <w:numPr>
          <w:ilvl w:val="0"/>
          <w:numId w:val="0"/>
        </w:numPr>
        <w:spacing w:line="276" w:lineRule="auto"/>
        <w:ind w:left="284"/>
        <w:rPr>
          <w:rFonts w:eastAsia="Times New Roman" w:cstheme="minorHAnsi"/>
          <w:sz w:val="24"/>
          <w:lang w:eastAsia="de-DE"/>
        </w:rPr>
      </w:pPr>
      <w:r>
        <w:rPr>
          <w:rFonts w:eastAsia="Times New Roman" w:cstheme="minorHAnsi"/>
          <w:sz w:val="24"/>
          <w:lang w:eastAsia="de-DE"/>
        </w:rPr>
        <w:t>Das Gericht verurteil</w:t>
      </w:r>
      <w:r w:rsidR="00D8586C">
        <w:rPr>
          <w:rFonts w:eastAsia="Times New Roman" w:cstheme="minorHAnsi"/>
          <w:sz w:val="24"/>
          <w:lang w:eastAsia="de-DE"/>
        </w:rPr>
        <w:t>t</w:t>
      </w:r>
      <w:r>
        <w:rPr>
          <w:rFonts w:eastAsia="Times New Roman" w:cstheme="minorHAnsi"/>
          <w:sz w:val="24"/>
          <w:lang w:eastAsia="de-DE"/>
        </w:rPr>
        <w:t>e den Angeklagten zu s</w:t>
      </w:r>
      <w:r w:rsidRPr="002654CD">
        <w:rPr>
          <w:rFonts w:eastAsia="Times New Roman" w:cstheme="minorHAnsi"/>
          <w:sz w:val="24"/>
          <w:lang w:eastAsia="de-DE"/>
        </w:rPr>
        <w:t>echs Monate</w:t>
      </w:r>
      <w:r>
        <w:rPr>
          <w:rFonts w:eastAsia="Times New Roman" w:cstheme="minorHAnsi"/>
          <w:sz w:val="24"/>
          <w:lang w:eastAsia="de-DE"/>
        </w:rPr>
        <w:t>n</w:t>
      </w:r>
      <w:r w:rsidRPr="002654CD">
        <w:rPr>
          <w:rFonts w:eastAsia="Times New Roman" w:cstheme="minorHAnsi"/>
          <w:sz w:val="24"/>
          <w:lang w:eastAsia="de-DE"/>
        </w:rPr>
        <w:t xml:space="preserve"> Freiheitsstrafe ohne Bewährung wegen </w:t>
      </w:r>
      <w:r w:rsidRPr="00F33E52">
        <w:rPr>
          <w:rFonts w:eastAsia="Times New Roman" w:cstheme="minorHAnsi"/>
          <w:sz w:val="24"/>
          <w:lang w:eastAsia="de-DE"/>
        </w:rPr>
        <w:t>Volksverhetzung und Beleidigung</w:t>
      </w:r>
      <w:r>
        <w:rPr>
          <w:rFonts w:eastAsia="Times New Roman" w:cstheme="minorHAnsi"/>
          <w:sz w:val="24"/>
          <w:lang w:eastAsia="de-DE"/>
        </w:rPr>
        <w:t>.</w:t>
      </w:r>
      <w:r w:rsidRPr="00F33E52">
        <w:rPr>
          <w:rFonts w:eastAsia="Times New Roman" w:cstheme="minorHAnsi"/>
          <w:sz w:val="24"/>
          <w:lang w:eastAsia="de-DE"/>
        </w:rPr>
        <w:t xml:space="preserve"> </w:t>
      </w:r>
    </w:p>
    <w:p w14:paraId="368FDCB8" w14:textId="77777777" w:rsidR="006714BC" w:rsidRDefault="006714BC" w:rsidP="006714BC">
      <w:pPr>
        <w:numPr>
          <w:ilvl w:val="0"/>
          <w:numId w:val="0"/>
        </w:numPr>
        <w:spacing w:line="276" w:lineRule="auto"/>
        <w:ind w:left="284"/>
        <w:rPr>
          <w:rFonts w:eastAsia="Times New Roman" w:cstheme="minorHAnsi"/>
          <w:b/>
          <w:bCs/>
          <w:sz w:val="24"/>
          <w:lang w:eastAsia="de-DE"/>
        </w:rPr>
      </w:pPr>
    </w:p>
    <w:p w14:paraId="48134799" w14:textId="77777777" w:rsidR="006714BC" w:rsidRPr="002654CD" w:rsidRDefault="006714BC" w:rsidP="006714BC">
      <w:pPr>
        <w:spacing w:line="276" w:lineRule="auto"/>
        <w:rPr>
          <w:rFonts w:eastAsia="Times New Roman" w:cstheme="minorHAnsi"/>
          <w:b/>
          <w:bCs/>
          <w:sz w:val="24"/>
          <w:lang w:eastAsia="de-DE"/>
        </w:rPr>
      </w:pPr>
      <w:r>
        <w:rPr>
          <w:rFonts w:eastAsia="Times New Roman" w:cstheme="minorHAnsi"/>
          <w:b/>
          <w:bCs/>
          <w:sz w:val="24"/>
          <w:lang w:eastAsia="de-DE"/>
        </w:rPr>
        <w:t>Auszüge aus der Beurteilung des Falls durch das Bundesverfassungsgericht (BVerfG)</w:t>
      </w:r>
      <w:r w:rsidRPr="002654CD">
        <w:rPr>
          <w:rFonts w:eastAsia="Times New Roman" w:cstheme="minorHAnsi"/>
          <w:b/>
          <w:bCs/>
          <w:sz w:val="24"/>
          <w:lang w:eastAsia="de-DE"/>
        </w:rPr>
        <w:t>:</w:t>
      </w:r>
    </w:p>
    <w:p w14:paraId="26AEA0BC" w14:textId="77777777" w:rsidR="006714BC" w:rsidRPr="002654CD" w:rsidRDefault="006714BC" w:rsidP="006714BC">
      <w:pPr>
        <w:numPr>
          <w:ilvl w:val="0"/>
          <w:numId w:val="0"/>
        </w:numPr>
        <w:spacing w:line="276" w:lineRule="auto"/>
        <w:ind w:left="284"/>
        <w:rPr>
          <w:rFonts w:eastAsia="Times New Roman" w:cstheme="minorHAnsi"/>
          <w:sz w:val="24"/>
          <w:lang w:eastAsia="de-DE"/>
        </w:rPr>
      </w:pPr>
      <w:r w:rsidRPr="002654CD">
        <w:rPr>
          <w:rFonts w:eastAsia="Times New Roman" w:cstheme="minorHAnsi"/>
          <w:sz w:val="24"/>
          <w:lang w:eastAsia="de-DE"/>
        </w:rPr>
        <w:t xml:space="preserve">Der Verurteilte wandte sich an das Bundesverfassungsgericht, um die Frage grundsätzlich zu klären. </w:t>
      </w:r>
    </w:p>
    <w:p w14:paraId="14591235" w14:textId="77777777" w:rsidR="006714BC" w:rsidRPr="00F33E52" w:rsidRDefault="006714BC" w:rsidP="006714BC">
      <w:pPr>
        <w:numPr>
          <w:ilvl w:val="0"/>
          <w:numId w:val="0"/>
        </w:numPr>
        <w:spacing w:line="276" w:lineRule="auto"/>
        <w:ind w:left="284"/>
        <w:rPr>
          <w:rFonts w:eastAsia="Times New Roman" w:cstheme="minorHAnsi"/>
          <w:sz w:val="24"/>
          <w:lang w:eastAsia="de-DE"/>
        </w:rPr>
      </w:pPr>
      <w:r w:rsidRPr="002654CD">
        <w:rPr>
          <w:rFonts w:eastAsia="Times New Roman" w:cstheme="minorHAnsi"/>
          <w:sz w:val="24"/>
          <w:lang w:eastAsia="de-DE"/>
        </w:rPr>
        <w:t>„</w:t>
      </w:r>
      <w:r w:rsidRPr="00F33E52">
        <w:rPr>
          <w:rFonts w:eastAsia="Times New Roman" w:cstheme="minorHAnsi"/>
          <w:sz w:val="24"/>
          <w:lang w:eastAsia="de-DE"/>
        </w:rPr>
        <w:t xml:space="preserve">Das BVerfG hat entschieden, dass die Bezeichnung </w:t>
      </w:r>
      <w:r>
        <w:rPr>
          <w:rFonts w:eastAsia="Times New Roman" w:cstheme="minorHAnsi"/>
          <w:sz w:val="24"/>
          <w:lang w:eastAsia="de-DE"/>
        </w:rPr>
        <w:t>‚</w:t>
      </w:r>
      <w:r w:rsidRPr="00F33E52">
        <w:rPr>
          <w:rFonts w:eastAsia="Times New Roman" w:cstheme="minorHAnsi"/>
          <w:sz w:val="24"/>
          <w:lang w:eastAsia="de-DE"/>
        </w:rPr>
        <w:t>Frecher Juden-Funktionär</w:t>
      </w:r>
      <w:r>
        <w:rPr>
          <w:rFonts w:eastAsia="Times New Roman" w:cstheme="minorHAnsi"/>
          <w:sz w:val="24"/>
          <w:lang w:eastAsia="de-DE"/>
        </w:rPr>
        <w:t>‘</w:t>
      </w:r>
      <w:r w:rsidRPr="00F33E52">
        <w:rPr>
          <w:rFonts w:eastAsia="Times New Roman" w:cstheme="minorHAnsi"/>
          <w:sz w:val="24"/>
          <w:lang w:eastAsia="de-DE"/>
        </w:rPr>
        <w:t xml:space="preserve"> und ein Boykottaufruf gegen eine jüdische Gemeinde nicht vom Recht auf freie Meinungsäußerung gedeckt ist und daher eine Verurteilung wegen Volksverhetzung rechtfertigt.</w:t>
      </w:r>
      <w:r w:rsidRPr="002654CD">
        <w:rPr>
          <w:rFonts w:eastAsia="Times New Roman" w:cstheme="minorHAnsi"/>
          <w:sz w:val="24"/>
          <w:lang w:eastAsia="de-DE"/>
        </w:rPr>
        <w:t xml:space="preserve"> […]</w:t>
      </w:r>
    </w:p>
    <w:p w14:paraId="381C40CA" w14:textId="77777777" w:rsidR="006714BC" w:rsidRPr="002654CD" w:rsidRDefault="006714BC" w:rsidP="00A05C1B">
      <w:pPr>
        <w:numPr>
          <w:ilvl w:val="0"/>
          <w:numId w:val="0"/>
        </w:numPr>
        <w:spacing w:line="276" w:lineRule="auto"/>
        <w:ind w:left="284"/>
        <w:rPr>
          <w:rFonts w:eastAsia="Times New Roman" w:cstheme="minorHAnsi"/>
          <w:sz w:val="24"/>
          <w:lang w:eastAsia="de-DE"/>
        </w:rPr>
      </w:pPr>
      <w:r w:rsidRPr="00F33E52">
        <w:rPr>
          <w:rFonts w:eastAsia="Times New Roman" w:cstheme="minorHAnsi"/>
          <w:sz w:val="24"/>
          <w:lang w:eastAsia="de-DE"/>
        </w:rPr>
        <w:t>Die Meinungsfreiheit verbietet daher den staatlichen Zugriff auf die Gesinnung und lässt Eingriffe erst zu, wenn Meinungsäußerungen die rein geistige Sphäre des Für-richtig-Haltens verlassen und in Rechtsgutverletzungen oder erkennbar in Gefährdungslagen umschlagen. Das ist der Fall, wenn sie den öffentlichen Frieden als Friedlichkeit der öffentlichen Auseinandersetzung gefährden und so den Übergang zu Aggression oder Rechtsbruch markieren.</w:t>
      </w:r>
      <w:r w:rsidRPr="002654CD">
        <w:rPr>
          <w:rFonts w:eastAsia="Times New Roman" w:cstheme="minorHAnsi"/>
          <w:sz w:val="24"/>
          <w:lang w:eastAsia="de-DE"/>
        </w:rPr>
        <w:t xml:space="preserve"> </w:t>
      </w:r>
      <w:r w:rsidRPr="002654CD">
        <w:rPr>
          <w:rFonts w:eastAsia="Times New Roman" w:cstheme="minorHAnsi"/>
          <w:bCs/>
          <w:sz w:val="24"/>
          <w:lang w:eastAsia="de-DE"/>
        </w:rPr>
        <w:t xml:space="preserve">[…] </w:t>
      </w:r>
      <w:r w:rsidRPr="00F33E52">
        <w:rPr>
          <w:rFonts w:eastAsia="Times New Roman" w:cstheme="minorHAnsi"/>
          <w:sz w:val="24"/>
          <w:lang w:eastAsia="de-DE"/>
        </w:rPr>
        <w:t>Allerdings ist für die Beurteilung von Äußerungen nach allgemeinen Grundsätzen ihre konkrete Wirkung im jeweiligen Kontext in Betracht zu nehmen. Dabei gebieten die besonderen Erfahrungen der deutschen Geschichte, insbesondere die damals durch zielgerichtete und systematische Hetze und Boykottaufrufe eingeleitete und begleitete Entrechtung und systematische Ermordung der jüdischen Bevölkerung Deutschlands und Europas, eine gesteigerte Sensibilität im Umgang mit der abwertenden Bezeichnung eines anderen als Juden.</w:t>
      </w:r>
      <w:r w:rsidRPr="002654CD">
        <w:rPr>
          <w:rFonts w:eastAsia="Times New Roman" w:cstheme="minorHAnsi"/>
          <w:sz w:val="24"/>
          <w:lang w:eastAsia="de-DE"/>
        </w:rPr>
        <w:t xml:space="preserve">“ </w:t>
      </w:r>
    </w:p>
    <w:p w14:paraId="2EEE4E70" w14:textId="77777777" w:rsidR="006714BC" w:rsidRDefault="006714BC" w:rsidP="00A05C1B">
      <w:pPr>
        <w:numPr>
          <w:ilvl w:val="0"/>
          <w:numId w:val="0"/>
        </w:numPr>
        <w:spacing w:line="276" w:lineRule="auto"/>
        <w:ind w:left="284"/>
        <w:rPr>
          <w:sz w:val="20"/>
          <w:szCs w:val="20"/>
        </w:rPr>
      </w:pPr>
    </w:p>
    <w:p w14:paraId="0743FC5A" w14:textId="77777777" w:rsidR="006714BC" w:rsidRPr="00245509" w:rsidRDefault="006714BC" w:rsidP="00A05C1B">
      <w:pPr>
        <w:pStyle w:val="Listenabsatz"/>
        <w:rPr>
          <w:lang w:eastAsia="de-DE"/>
        </w:rPr>
      </w:pPr>
      <w:r w:rsidRPr="00245509">
        <w:rPr>
          <w:b/>
        </w:rPr>
        <w:t>Quelle</w:t>
      </w:r>
      <w:r w:rsidRPr="00245509">
        <w:t xml:space="preserve">: </w:t>
      </w:r>
      <w:r w:rsidRPr="00A46F32">
        <w:rPr>
          <w:lang w:eastAsia="de-DE"/>
        </w:rPr>
        <w:t>https://www.kostenlose-urteile.de/LG-Osnabrueck_5-Ns-13620_Verbreitung-von-Abbildungen-von-Taetern-des-Nationalsozialismus-kann-strafbar-sein.news29729.htm?sk=5342f32513b468a90415518591cd3cb2</w:t>
      </w:r>
      <w:r>
        <w:rPr>
          <w:lang w:eastAsia="de-DE"/>
        </w:rPr>
        <w:t xml:space="preserve"> (Stand: 1. Dezember 2021)</w:t>
      </w:r>
    </w:p>
    <w:p w14:paraId="5634BE1E" w14:textId="77777777" w:rsidR="006714BC" w:rsidRPr="002654CD" w:rsidRDefault="006714BC" w:rsidP="00A05C1B">
      <w:pPr>
        <w:numPr>
          <w:ilvl w:val="0"/>
          <w:numId w:val="0"/>
        </w:numPr>
        <w:spacing w:line="276" w:lineRule="auto"/>
        <w:ind w:left="284"/>
        <w:rPr>
          <w:rFonts w:cstheme="minorHAnsi"/>
          <w:sz w:val="24"/>
        </w:rPr>
      </w:pPr>
    </w:p>
    <w:sectPr w:rsidR="006714BC" w:rsidRPr="002654CD" w:rsidSect="00A05C1B">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C26E9" w14:textId="77777777" w:rsidR="007D2BBA" w:rsidRDefault="007D2BBA" w:rsidP="00E114D4">
      <w:pPr>
        <w:spacing w:after="0"/>
      </w:pPr>
      <w:r>
        <w:separator/>
      </w:r>
    </w:p>
  </w:endnote>
  <w:endnote w:type="continuationSeparator" w:id="0">
    <w:p w14:paraId="792633C0" w14:textId="77777777" w:rsidR="007D2BBA" w:rsidRDefault="007D2BBA"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Display">
    <w:altName w:val="Calibr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00000000" w:usb1="2ADF3C10" w:usb2="00000016" w:usb3="00000000" w:csb0="00060107" w:csb1="00000000"/>
  </w:font>
  <w:font w:name="Times New Roman (Überschriften">
    <w:altName w:val="Times New Roman"/>
    <w:charset w:val="00"/>
    <w:family w:val="roman"/>
    <w:pitch w:val="default"/>
  </w:font>
  <w:font w:name="Noto Sans Disp SemBd">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Calibri"/>
    <w:charset w:val="00"/>
    <w:family w:val="swiss"/>
    <w:pitch w:val="variable"/>
    <w:sig w:usb0="E00002FF" w:usb1="4000001F" w:usb2="08000029"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B82C" w14:textId="77777777" w:rsidR="00242D3D" w:rsidRDefault="00242D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E1BA" w14:textId="77777777" w:rsidR="00242D3D" w:rsidRDefault="00242D3D" w:rsidP="00697901">
    <w:pPr>
      <w:numPr>
        <w:ilvl w:val="0"/>
        <w:numId w:val="0"/>
      </w:numPr>
      <w:ind w:left="454" w:hanging="454"/>
      <w:rPr>
        <w:rFonts w:eastAsia="Times New Roman" w:cs="Noto Sans Display"/>
        <w:sz w:val="12"/>
        <w:szCs w:val="12"/>
        <w:shd w:val="clear" w:color="auto" w:fill="FFFFFF"/>
        <w:lang w:eastAsia="de-DE"/>
      </w:rPr>
    </w:pPr>
  </w:p>
  <w:p w14:paraId="022754EC" w14:textId="77777777" w:rsidR="00242D3D" w:rsidRPr="00274F81" w:rsidRDefault="00242D3D" w:rsidP="00697901">
    <w:pPr>
      <w:numPr>
        <w:ilvl w:val="0"/>
        <w:numId w:val="0"/>
      </w:numPr>
      <w:ind w:left="454" w:hanging="454"/>
      <w:rPr>
        <w:rStyle w:val="Hervorhebung"/>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history="1">
      <w:r w:rsidRPr="00274F81">
        <w:rPr>
          <w:rStyle w:val="Hervorhebung"/>
          <w:sz w:val="12"/>
          <w:szCs w:val="12"/>
          <w:u w:val="singl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A3C8" w14:textId="77777777" w:rsidR="00242D3D" w:rsidRDefault="00242D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4AC8F" w14:textId="77777777" w:rsidR="007D2BBA" w:rsidRDefault="007D2BBA" w:rsidP="00E114D4">
      <w:pPr>
        <w:spacing w:after="0"/>
      </w:pPr>
      <w:r>
        <w:separator/>
      </w:r>
    </w:p>
  </w:footnote>
  <w:footnote w:type="continuationSeparator" w:id="0">
    <w:p w14:paraId="5CB592D7" w14:textId="77777777" w:rsidR="007D2BBA" w:rsidRDefault="007D2BBA"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41C6" w14:textId="77777777" w:rsidR="00242D3D" w:rsidRDefault="00242D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7FA2" w14:textId="77777777" w:rsidR="00D8586C" w:rsidRPr="00D8586C" w:rsidRDefault="00D8586C" w:rsidP="00D8586C">
    <w:pPr>
      <w:pStyle w:val="berschrift1"/>
      <w:spacing w:before="100" w:beforeAutospacing="1" w:after="100" w:afterAutospacing="1" w:line="240" w:lineRule="auto"/>
      <w:jc w:val="right"/>
      <w:rPr>
        <w:b w:val="0"/>
        <w:sz w:val="24"/>
        <w:szCs w:val="24"/>
      </w:rPr>
    </w:pPr>
    <w:r w:rsidRPr="00D8586C">
      <w:rPr>
        <w:rFonts w:hint="eastAsia"/>
        <w:b w:val="0"/>
        <w:sz w:val="24"/>
        <w:szCs w:val="24"/>
      </w:rPr>
      <w:t>Bayern gegen Antisemitismus – Anregungen für den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02532" w14:textId="77777777" w:rsidR="00242D3D" w:rsidRDefault="00242D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7.25pt" o:bullet="t">
        <v:imagedata r:id="rId1" o:title="Aufzählung"/>
      </v:shape>
    </w:pict>
  </w:numPicBullet>
  <w:numPicBullet w:numPicBulletId="1">
    <w:pict>
      <v:shape id="_x0000_i1027" type="#_x0000_t75" style="width:12.75pt;height:17.25pt" o:bullet="t">
        <v:imagedata r:id="rId2" o:title="Aufzählung_groß"/>
      </v:shape>
    </w:pict>
  </w:numPicBullet>
  <w:numPicBullet w:numPicBulletId="2">
    <w:pict>
      <v:shape id="_x0000_i1028" type="#_x0000_t75" style="width:30.75pt;height:39pt" o:bullet="t">
        <v:imagedata r:id="rId3" o:title="Aufzählung"/>
      </v:shape>
    </w:pict>
  </w:numPicBullet>
  <w:numPicBullet w:numPicBulletId="3">
    <w:pict>
      <v:shape id="_x0000_i1029" type="#_x0000_t75" style="width:21pt;height:26.25pt" o:bullet="t">
        <v:imagedata r:id="rId4" o:title="Aufzählung"/>
      </v:shape>
    </w:pict>
  </w:numPicBullet>
  <w:numPicBullet w:numPicBulletId="4">
    <w:pict>
      <v:shape id="_x0000_i1030" type="#_x0000_t75" style="width:30.75pt;height:36.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E268E"/>
    <w:multiLevelType w:val="hybridMultilevel"/>
    <w:tmpl w:val="98C2D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5"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6"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7" w15:restartNumberingAfterBreak="0">
    <w:nsid w:val="287122EF"/>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4F035A"/>
    <w:multiLevelType w:val="hybridMultilevel"/>
    <w:tmpl w:val="A6AA5AE4"/>
    <w:lvl w:ilvl="0" w:tplc="373666FA">
      <w:start w:val="1"/>
      <w:numFmt w:val="none"/>
      <w:suff w:val="nothing"/>
      <w:lvlText w:val=""/>
      <w:lvlJc w:val="left"/>
      <w:pPr>
        <w:tabs>
          <w:tab w:val="num" w:pos="0"/>
        </w:tabs>
        <w:ind w:left="432" w:hanging="432"/>
      </w:pPr>
    </w:lvl>
    <w:lvl w:ilvl="1" w:tplc="F7225484">
      <w:start w:val="1"/>
      <w:numFmt w:val="none"/>
      <w:suff w:val="nothing"/>
      <w:lvlText w:val=""/>
      <w:lvlJc w:val="left"/>
      <w:pPr>
        <w:tabs>
          <w:tab w:val="num" w:pos="0"/>
        </w:tabs>
        <w:ind w:left="576" w:hanging="576"/>
      </w:pPr>
    </w:lvl>
    <w:lvl w:ilvl="2" w:tplc="BFAE01C2">
      <w:start w:val="1"/>
      <w:numFmt w:val="none"/>
      <w:suff w:val="nothing"/>
      <w:lvlText w:val=""/>
      <w:lvlJc w:val="left"/>
      <w:pPr>
        <w:tabs>
          <w:tab w:val="num" w:pos="0"/>
        </w:tabs>
        <w:ind w:left="720" w:hanging="720"/>
      </w:pPr>
    </w:lvl>
    <w:lvl w:ilvl="3" w:tplc="E2266E6A">
      <w:start w:val="1"/>
      <w:numFmt w:val="none"/>
      <w:suff w:val="nothing"/>
      <w:lvlText w:val=""/>
      <w:lvlJc w:val="left"/>
      <w:pPr>
        <w:tabs>
          <w:tab w:val="num" w:pos="0"/>
        </w:tabs>
        <w:ind w:left="864" w:hanging="864"/>
      </w:pPr>
    </w:lvl>
    <w:lvl w:ilvl="4" w:tplc="5DA4C502">
      <w:start w:val="1"/>
      <w:numFmt w:val="none"/>
      <w:suff w:val="nothing"/>
      <w:lvlText w:val=""/>
      <w:lvlJc w:val="left"/>
      <w:pPr>
        <w:tabs>
          <w:tab w:val="num" w:pos="0"/>
        </w:tabs>
        <w:ind w:left="1008" w:hanging="1008"/>
      </w:pPr>
    </w:lvl>
    <w:lvl w:ilvl="5" w:tplc="787A6BB8">
      <w:start w:val="1"/>
      <w:numFmt w:val="none"/>
      <w:suff w:val="nothing"/>
      <w:lvlText w:val=""/>
      <w:lvlJc w:val="left"/>
      <w:pPr>
        <w:tabs>
          <w:tab w:val="num" w:pos="0"/>
        </w:tabs>
        <w:ind w:left="1152" w:hanging="1152"/>
      </w:pPr>
    </w:lvl>
    <w:lvl w:ilvl="6" w:tplc="CA3006F6">
      <w:start w:val="1"/>
      <w:numFmt w:val="none"/>
      <w:suff w:val="nothing"/>
      <w:lvlText w:val=""/>
      <w:lvlJc w:val="left"/>
      <w:pPr>
        <w:tabs>
          <w:tab w:val="num" w:pos="0"/>
        </w:tabs>
        <w:ind w:left="1296" w:hanging="1296"/>
      </w:pPr>
    </w:lvl>
    <w:lvl w:ilvl="7" w:tplc="76AE620C">
      <w:start w:val="1"/>
      <w:numFmt w:val="none"/>
      <w:suff w:val="nothing"/>
      <w:lvlText w:val=""/>
      <w:lvlJc w:val="left"/>
      <w:pPr>
        <w:tabs>
          <w:tab w:val="num" w:pos="0"/>
        </w:tabs>
        <w:ind w:left="1440" w:hanging="1440"/>
      </w:pPr>
    </w:lvl>
    <w:lvl w:ilvl="8" w:tplc="D8DE46D8">
      <w:start w:val="1"/>
      <w:numFmt w:val="none"/>
      <w:suff w:val="nothing"/>
      <w:lvlText w:val=""/>
      <w:lvlJc w:val="left"/>
      <w:pPr>
        <w:tabs>
          <w:tab w:val="num" w:pos="0"/>
        </w:tabs>
        <w:ind w:left="1584" w:hanging="1584"/>
      </w:pPr>
    </w:lvl>
  </w:abstractNum>
  <w:abstractNum w:abstractNumId="11"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3"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BA3892"/>
    <w:multiLevelType w:val="multilevel"/>
    <w:tmpl w:val="AC26D464"/>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B6BC6"/>
    <w:multiLevelType w:val="hybridMultilevel"/>
    <w:tmpl w:val="85D81F86"/>
    <w:lvl w:ilvl="0" w:tplc="BB122172">
      <w:start w:val="2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812924"/>
    <w:multiLevelType w:val="hybridMultilevel"/>
    <w:tmpl w:val="F9B2D82C"/>
    <w:lvl w:ilvl="0" w:tplc="AE16F694">
      <w:start w:val="1"/>
      <w:numFmt w:val="bullet"/>
      <w:lvlText w:val=""/>
      <w:lvlJc w:val="left"/>
      <w:pPr>
        <w:tabs>
          <w:tab w:val="num" w:pos="720"/>
        </w:tabs>
        <w:ind w:left="720" w:hanging="360"/>
      </w:pPr>
      <w:rPr>
        <w:rFonts w:ascii="Symbol" w:hAnsi="Symbol" w:hint="default"/>
        <w:sz w:val="20"/>
      </w:rPr>
    </w:lvl>
    <w:lvl w:ilvl="1" w:tplc="225CA0FE">
      <w:start w:val="3"/>
      <w:numFmt w:val="bullet"/>
      <w:lvlText w:val="-"/>
      <w:lvlJc w:val="left"/>
      <w:pPr>
        <w:ind w:left="1440" w:hanging="360"/>
      </w:pPr>
      <w:rPr>
        <w:rFonts w:ascii="Arial" w:eastAsia="Calibri" w:hAnsi="Arial" w:cs="Arial" w:hint="default"/>
      </w:rPr>
    </w:lvl>
    <w:lvl w:ilvl="2" w:tplc="A88A49C4">
      <w:start w:val="1"/>
      <w:numFmt w:val="bullet"/>
      <w:lvlText w:val=""/>
      <w:lvlJc w:val="left"/>
      <w:pPr>
        <w:tabs>
          <w:tab w:val="num" w:pos="2160"/>
        </w:tabs>
        <w:ind w:left="2160" w:hanging="360"/>
      </w:pPr>
      <w:rPr>
        <w:rFonts w:ascii="Wingdings" w:hAnsi="Wingdings" w:hint="default"/>
        <w:sz w:val="20"/>
      </w:rPr>
    </w:lvl>
    <w:lvl w:ilvl="3" w:tplc="74C8AFB2">
      <w:start w:val="1"/>
      <w:numFmt w:val="bullet"/>
      <w:lvlText w:val=""/>
      <w:lvlJc w:val="left"/>
      <w:pPr>
        <w:tabs>
          <w:tab w:val="num" w:pos="2880"/>
        </w:tabs>
        <w:ind w:left="2880" w:hanging="360"/>
      </w:pPr>
      <w:rPr>
        <w:rFonts w:ascii="Wingdings" w:hAnsi="Wingdings" w:hint="default"/>
        <w:sz w:val="20"/>
      </w:rPr>
    </w:lvl>
    <w:lvl w:ilvl="4" w:tplc="F3FCA6EC">
      <w:start w:val="1"/>
      <w:numFmt w:val="bullet"/>
      <w:lvlText w:val=""/>
      <w:lvlJc w:val="left"/>
      <w:pPr>
        <w:tabs>
          <w:tab w:val="num" w:pos="3600"/>
        </w:tabs>
        <w:ind w:left="3600" w:hanging="360"/>
      </w:pPr>
      <w:rPr>
        <w:rFonts w:ascii="Wingdings" w:hAnsi="Wingdings" w:hint="default"/>
        <w:sz w:val="20"/>
      </w:rPr>
    </w:lvl>
    <w:lvl w:ilvl="5" w:tplc="1BE480AA">
      <w:start w:val="1"/>
      <w:numFmt w:val="bullet"/>
      <w:lvlText w:val=""/>
      <w:lvlJc w:val="left"/>
      <w:pPr>
        <w:tabs>
          <w:tab w:val="num" w:pos="4320"/>
        </w:tabs>
        <w:ind w:left="4320" w:hanging="360"/>
      </w:pPr>
      <w:rPr>
        <w:rFonts w:ascii="Wingdings" w:hAnsi="Wingdings" w:hint="default"/>
        <w:sz w:val="20"/>
      </w:rPr>
    </w:lvl>
    <w:lvl w:ilvl="6" w:tplc="8A08D98A">
      <w:start w:val="1"/>
      <w:numFmt w:val="bullet"/>
      <w:lvlText w:val=""/>
      <w:lvlJc w:val="left"/>
      <w:pPr>
        <w:tabs>
          <w:tab w:val="num" w:pos="5040"/>
        </w:tabs>
        <w:ind w:left="5040" w:hanging="360"/>
      </w:pPr>
      <w:rPr>
        <w:rFonts w:ascii="Wingdings" w:hAnsi="Wingdings" w:hint="default"/>
        <w:sz w:val="20"/>
      </w:rPr>
    </w:lvl>
    <w:lvl w:ilvl="7" w:tplc="25442C66">
      <w:start w:val="1"/>
      <w:numFmt w:val="bullet"/>
      <w:lvlText w:val=""/>
      <w:lvlJc w:val="left"/>
      <w:pPr>
        <w:tabs>
          <w:tab w:val="num" w:pos="5760"/>
        </w:tabs>
        <w:ind w:left="5760" w:hanging="360"/>
      </w:pPr>
      <w:rPr>
        <w:rFonts w:ascii="Wingdings" w:hAnsi="Wingdings" w:hint="default"/>
        <w:sz w:val="20"/>
      </w:rPr>
    </w:lvl>
    <w:lvl w:ilvl="8" w:tplc="999A337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C37872"/>
    <w:multiLevelType w:val="multilevel"/>
    <w:tmpl w:val="DD9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57110"/>
    <w:multiLevelType w:val="hybridMultilevel"/>
    <w:tmpl w:val="80B2A764"/>
    <w:lvl w:ilvl="0" w:tplc="34C4A010">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9415CB"/>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5"/>
  </w:num>
  <w:num w:numId="5">
    <w:abstractNumId w:val="27"/>
  </w:num>
  <w:num w:numId="6">
    <w:abstractNumId w:val="28"/>
  </w:num>
  <w:num w:numId="7">
    <w:abstractNumId w:val="2"/>
  </w:num>
  <w:num w:numId="8">
    <w:abstractNumId w:val="12"/>
  </w:num>
  <w:num w:numId="9">
    <w:abstractNumId w:val="18"/>
  </w:num>
  <w:num w:numId="10">
    <w:abstractNumId w:val="25"/>
  </w:num>
  <w:num w:numId="11">
    <w:abstractNumId w:val="6"/>
  </w:num>
  <w:num w:numId="12">
    <w:abstractNumId w:val="0"/>
  </w:num>
  <w:num w:numId="13">
    <w:abstractNumId w:val="11"/>
  </w:num>
  <w:num w:numId="14">
    <w:abstractNumId w:val="17"/>
  </w:num>
  <w:num w:numId="15">
    <w:abstractNumId w:val="15"/>
  </w:num>
  <w:num w:numId="16">
    <w:abstractNumId w:val="21"/>
  </w:num>
  <w:num w:numId="17">
    <w:abstractNumId w:val="13"/>
  </w:num>
  <w:num w:numId="18">
    <w:abstractNumId w:val="22"/>
  </w:num>
  <w:num w:numId="19">
    <w:abstractNumId w:val="8"/>
  </w:num>
  <w:num w:numId="20">
    <w:abstractNumId w:val="9"/>
  </w:num>
  <w:num w:numId="21">
    <w:abstractNumId w:val="24"/>
  </w:num>
  <w:num w:numId="22">
    <w:abstractNumId w:val="4"/>
  </w:num>
  <w:num w:numId="23">
    <w:abstractNumId w:val="19"/>
  </w:num>
  <w:num w:numId="24">
    <w:abstractNumId w:val="26"/>
  </w:num>
  <w:num w:numId="25">
    <w:abstractNumId w:val="23"/>
  </w:num>
  <w:num w:numId="26">
    <w:abstractNumId w:val="10"/>
  </w:num>
  <w:num w:numId="27">
    <w:abstractNumId w:val="20"/>
  </w:num>
  <w:num w:numId="28">
    <w:abstractNumId w:val="29"/>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2545"/>
    <w:rsid w:val="00013AA7"/>
    <w:rsid w:val="00034A92"/>
    <w:rsid w:val="0005638F"/>
    <w:rsid w:val="000B4E1D"/>
    <w:rsid w:val="000D7815"/>
    <w:rsid w:val="000E573D"/>
    <w:rsid w:val="00185C6C"/>
    <w:rsid w:val="001B0E9E"/>
    <w:rsid w:val="001D5A73"/>
    <w:rsid w:val="001D61C0"/>
    <w:rsid w:val="002200BF"/>
    <w:rsid w:val="00242D3D"/>
    <w:rsid w:val="002479DA"/>
    <w:rsid w:val="00274F81"/>
    <w:rsid w:val="002753F5"/>
    <w:rsid w:val="002762E3"/>
    <w:rsid w:val="00293AEF"/>
    <w:rsid w:val="00301A49"/>
    <w:rsid w:val="00326C80"/>
    <w:rsid w:val="00367BDB"/>
    <w:rsid w:val="003A067E"/>
    <w:rsid w:val="003A23E5"/>
    <w:rsid w:val="003C3086"/>
    <w:rsid w:val="003F1C37"/>
    <w:rsid w:val="00491200"/>
    <w:rsid w:val="004C4F32"/>
    <w:rsid w:val="004D6F3D"/>
    <w:rsid w:val="00501B72"/>
    <w:rsid w:val="00530D01"/>
    <w:rsid w:val="005937DE"/>
    <w:rsid w:val="00595974"/>
    <w:rsid w:val="005C6BD9"/>
    <w:rsid w:val="005E088F"/>
    <w:rsid w:val="005E1A36"/>
    <w:rsid w:val="006714BC"/>
    <w:rsid w:val="006811A2"/>
    <w:rsid w:val="00691CB1"/>
    <w:rsid w:val="00697901"/>
    <w:rsid w:val="006B2C9E"/>
    <w:rsid w:val="007475EF"/>
    <w:rsid w:val="00757F39"/>
    <w:rsid w:val="007D2BBA"/>
    <w:rsid w:val="007F16F2"/>
    <w:rsid w:val="00801902"/>
    <w:rsid w:val="0082305E"/>
    <w:rsid w:val="00867FEB"/>
    <w:rsid w:val="008A5E4E"/>
    <w:rsid w:val="008C382E"/>
    <w:rsid w:val="008F0330"/>
    <w:rsid w:val="009053A7"/>
    <w:rsid w:val="00920088"/>
    <w:rsid w:val="00945432"/>
    <w:rsid w:val="0094625D"/>
    <w:rsid w:val="009D1CD6"/>
    <w:rsid w:val="009E06EB"/>
    <w:rsid w:val="009F4B13"/>
    <w:rsid w:val="00A03805"/>
    <w:rsid w:val="00A05C1B"/>
    <w:rsid w:val="00A55FD2"/>
    <w:rsid w:val="00A83228"/>
    <w:rsid w:val="00A83EBF"/>
    <w:rsid w:val="00AA7561"/>
    <w:rsid w:val="00AB02B0"/>
    <w:rsid w:val="00AB7126"/>
    <w:rsid w:val="00AE2F70"/>
    <w:rsid w:val="00B01F90"/>
    <w:rsid w:val="00B02761"/>
    <w:rsid w:val="00B15477"/>
    <w:rsid w:val="00B54F77"/>
    <w:rsid w:val="00B65C0B"/>
    <w:rsid w:val="00B65F5E"/>
    <w:rsid w:val="00BA2A45"/>
    <w:rsid w:val="00BB0C12"/>
    <w:rsid w:val="00C3406E"/>
    <w:rsid w:val="00D23C73"/>
    <w:rsid w:val="00D33D24"/>
    <w:rsid w:val="00D51816"/>
    <w:rsid w:val="00D83156"/>
    <w:rsid w:val="00D8586C"/>
    <w:rsid w:val="00DB63AF"/>
    <w:rsid w:val="00DC0748"/>
    <w:rsid w:val="00DC3E8B"/>
    <w:rsid w:val="00E10FEA"/>
    <w:rsid w:val="00E114D4"/>
    <w:rsid w:val="00E5455A"/>
    <w:rsid w:val="00E93AEF"/>
    <w:rsid w:val="00EC49DF"/>
    <w:rsid w:val="00EE1A07"/>
    <w:rsid w:val="00F357C4"/>
    <w:rsid w:val="00F35F93"/>
    <w:rsid w:val="00F46DDE"/>
    <w:rsid w:val="00F51B4E"/>
    <w:rsid w:val="00FF4A41"/>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EFF0C"/>
  <w15:docId w15:val="{31B88131-E4E9-47F3-A937-5D6F4DB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character" w:customStyle="1" w:styleId="NichtaufgelsteErwhnung1">
    <w:name w:val="Nicht aufgelöste Erwähnung1"/>
    <w:basedOn w:val="Absatz-Standardschriftart"/>
    <w:uiPriority w:val="99"/>
    <w:semiHidden/>
    <w:unhideWhenUsed/>
    <w:rsid w:val="00595974"/>
    <w:rPr>
      <w:color w:val="605E5C"/>
      <w:shd w:val="clear" w:color="auto" w:fill="E1DFDD"/>
    </w:rPr>
  </w:style>
  <w:style w:type="character" w:styleId="Zeilennummer">
    <w:name w:val="line number"/>
    <w:basedOn w:val="Absatz-Standardschriftart"/>
    <w:uiPriority w:val="99"/>
    <w:semiHidden/>
    <w:unhideWhenUsed/>
    <w:rsid w:val="00501B72"/>
  </w:style>
  <w:style w:type="character" w:styleId="BesuchterLink">
    <w:name w:val="FollowedHyperlink"/>
    <w:basedOn w:val="Absatz-Standardschriftart"/>
    <w:uiPriority w:val="99"/>
    <w:semiHidden/>
    <w:unhideWhenUsed/>
    <w:rsid w:val="00326C80"/>
    <w:rPr>
      <w:color w:val="954F72" w:themeColor="followedHyperlink"/>
      <w:u w:val="single"/>
    </w:rPr>
  </w:style>
  <w:style w:type="character" w:customStyle="1" w:styleId="mirador113">
    <w:name w:val="mirador113"/>
    <w:basedOn w:val="Absatz-Standardschriftart"/>
    <w:rsid w:val="0082305E"/>
  </w:style>
  <w:style w:type="character" w:styleId="Kommentarzeichen">
    <w:name w:val="annotation reference"/>
    <w:basedOn w:val="Absatz-Standardschriftart"/>
    <w:uiPriority w:val="99"/>
    <w:semiHidden/>
    <w:unhideWhenUsed/>
    <w:rsid w:val="005937DE"/>
    <w:rPr>
      <w:sz w:val="16"/>
      <w:szCs w:val="16"/>
    </w:rPr>
  </w:style>
  <w:style w:type="paragraph" w:styleId="Kommentartext">
    <w:name w:val="annotation text"/>
    <w:basedOn w:val="Standard"/>
    <w:link w:val="KommentartextZchn"/>
    <w:uiPriority w:val="99"/>
    <w:semiHidden/>
    <w:unhideWhenUsed/>
    <w:rsid w:val="005937DE"/>
    <w:rPr>
      <w:sz w:val="20"/>
      <w:szCs w:val="20"/>
    </w:rPr>
  </w:style>
  <w:style w:type="character" w:customStyle="1" w:styleId="KommentartextZchn">
    <w:name w:val="Kommentartext Zchn"/>
    <w:basedOn w:val="Absatz-Standardschriftart"/>
    <w:link w:val="Kommentartext"/>
    <w:uiPriority w:val="99"/>
    <w:semiHidden/>
    <w:rsid w:val="005937DE"/>
    <w:rPr>
      <w:rFonts w:ascii="Noto Sans Display" w:hAnsi="Noto Sans Display"/>
      <w:noProof/>
      <w:color w:val="333333"/>
      <w:sz w:val="20"/>
      <w:szCs w:val="20"/>
    </w:rPr>
  </w:style>
  <w:style w:type="paragraph" w:styleId="Kommentarthema">
    <w:name w:val="annotation subject"/>
    <w:basedOn w:val="Kommentartext"/>
    <w:next w:val="Kommentartext"/>
    <w:link w:val="KommentarthemaZchn"/>
    <w:uiPriority w:val="99"/>
    <w:semiHidden/>
    <w:unhideWhenUsed/>
    <w:rsid w:val="005937DE"/>
    <w:rPr>
      <w:b/>
      <w:bCs/>
    </w:rPr>
  </w:style>
  <w:style w:type="character" w:customStyle="1" w:styleId="KommentarthemaZchn">
    <w:name w:val="Kommentarthema Zchn"/>
    <w:basedOn w:val="KommentartextZchn"/>
    <w:link w:val="Kommentarthema"/>
    <w:uiPriority w:val="99"/>
    <w:semiHidden/>
    <w:rsid w:val="005937DE"/>
    <w:rPr>
      <w:rFonts w:ascii="Noto Sans Display" w:hAnsi="Noto Sans Display"/>
      <w:b/>
      <w:bCs/>
      <w:noProof/>
      <w:color w:val="333333"/>
      <w:sz w:val="20"/>
      <w:szCs w:val="20"/>
    </w:rPr>
  </w:style>
  <w:style w:type="paragraph" w:styleId="Sprechblasentext">
    <w:name w:val="Balloon Text"/>
    <w:basedOn w:val="Standard"/>
    <w:link w:val="SprechblasentextZchn"/>
    <w:uiPriority w:val="99"/>
    <w:semiHidden/>
    <w:unhideWhenUsed/>
    <w:rsid w:val="005937D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7DE"/>
    <w:rPr>
      <w:rFonts w:ascii="Tahoma" w:hAnsi="Tahoma" w:cs="Tahoma"/>
      <w:noProof/>
      <w:color w:val="333333"/>
      <w:sz w:val="16"/>
      <w:szCs w:val="16"/>
    </w:rPr>
  </w:style>
  <w:style w:type="paragraph" w:customStyle="1" w:styleId="marginx0">
    <w:name w:val="marginx0"/>
    <w:basedOn w:val="Standard"/>
    <w:rsid w:val="006714BC"/>
    <w:pPr>
      <w:numPr>
        <w:numId w:val="0"/>
      </w:numPr>
      <w:spacing w:before="100" w:beforeAutospacing="1" w:after="100" w:afterAutospacing="1"/>
    </w:pPr>
    <w:rPr>
      <w:rFonts w:ascii="Times New Roman" w:eastAsia="Times New Roman" w:hAnsi="Times New Roman" w:cs="Times New Roman"/>
      <w:noProof w:val="0"/>
      <w:color w:val="auto"/>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26753">
      <w:bodyDiv w:val="1"/>
      <w:marLeft w:val="0"/>
      <w:marRight w:val="0"/>
      <w:marTop w:val="0"/>
      <w:marBottom w:val="0"/>
      <w:divBdr>
        <w:top w:val="none" w:sz="0" w:space="0" w:color="auto"/>
        <w:left w:val="none" w:sz="0" w:space="0" w:color="auto"/>
        <w:bottom w:val="none" w:sz="0" w:space="0" w:color="auto"/>
        <w:right w:val="none" w:sz="0" w:space="0" w:color="auto"/>
      </w:divBdr>
    </w:div>
    <w:div w:id="7494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ostenlose-urteile.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F38B-86B3-415E-8AF7-B2914063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8349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Monika, Dr.</cp:lastModifiedBy>
  <cp:revision>2</cp:revision>
  <cp:lastPrinted>2022-03-31T12:27:00Z</cp:lastPrinted>
  <dcterms:created xsi:type="dcterms:W3CDTF">2022-08-04T08:35:00Z</dcterms:created>
  <dcterms:modified xsi:type="dcterms:W3CDTF">2022-08-04T08:35:00Z</dcterms:modified>
</cp:coreProperties>
</file>